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9318" w:type="dxa"/>
        <w:jc w:val="center"/>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18"/>
      </w:tblGrid>
      <w:tr>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318" w:type="dxa"/>
          </w:tcPr>
          <w:p>
            <w:pPr>
              <w:pStyle w:val="2"/>
              <w:numPr>
                <w:ilvl w:val="0"/>
                <w:numId w:val="0"/>
              </w:numPr>
              <w:autoSpaceDE w:val="0"/>
              <w:autoSpaceDN w:val="0"/>
              <w:snapToGrid w:val="0"/>
              <w:jc w:val="distribute"/>
              <w:rPr>
                <w:b/>
                <w:bCs/>
                <w:color w:val="FF0000"/>
                <w:w w:val="90"/>
                <w:kern w:val="72"/>
                <w:sz w:val="72"/>
              </w:rPr>
            </w:pPr>
            <w:bookmarkStart w:id="0" w:name="xxqqWholeArea"/>
            <w:r>
              <w:rPr>
                <w:b/>
                <w:bCs/>
                <w:color w:val="FF0000"/>
                <w:w w:val="90"/>
                <w:kern w:val="72"/>
                <w:sz w:val="72"/>
              </w:rPr>
              <w:t>东莞市司法局</w:t>
            </w:r>
          </w:p>
        </w:tc>
      </w:tr>
      <w:bookmarkEnd w:id="0"/>
    </w:tbl>
    <w:p>
      <w:pPr>
        <w:rPr>
          <w:rFonts w:ascii="Times New Roman" w:hAnsi="Times New Roman"/>
        </w:rPr>
      </w:pPr>
    </w:p>
    <w:p>
      <w:pPr>
        <w:spacing w:line="720" w:lineRule="exact"/>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东莞市司法局</w:t>
      </w:r>
      <w:r>
        <w:rPr>
          <w:rFonts w:ascii="Times New Roman" w:hAnsi="Times New Roman" w:eastAsia="方正小标宋简体"/>
          <w:color w:val="000000" w:themeColor="text1"/>
          <w:sz w:val="44"/>
          <w:szCs w:val="44"/>
          <w:lang w:val="en"/>
          <w14:textFill>
            <w14:solidFill>
              <w14:schemeClr w14:val="tx1"/>
            </w14:solidFill>
          </w14:textFill>
        </w:rPr>
        <w:t>2022</w:t>
      </w:r>
      <w:r>
        <w:rPr>
          <w:rFonts w:ascii="Times New Roman" w:hAnsi="Times New Roman" w:eastAsia="方正小标宋简体"/>
          <w:color w:val="000000" w:themeColor="text1"/>
          <w:sz w:val="44"/>
          <w:szCs w:val="44"/>
          <w14:textFill>
            <w14:solidFill>
              <w14:schemeClr w14:val="tx1"/>
            </w14:solidFill>
          </w14:textFill>
        </w:rPr>
        <w:t>年度行政许可</w:t>
      </w:r>
    </w:p>
    <w:p>
      <w:pPr>
        <w:spacing w:line="720" w:lineRule="exact"/>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实施和监督管理情况报告</w:t>
      </w:r>
    </w:p>
    <w:p>
      <w:pPr>
        <w:ind w:firstLine="670" w:firstLineChars="200"/>
        <w:rPr>
          <w:rFonts w:ascii="Times New Roman" w:hAnsi="Times New Roman"/>
          <w:color w:val="000000" w:themeColor="text1"/>
          <w14:textFill>
            <w14:solidFill>
              <w14:schemeClr w14:val="tx1"/>
            </w14:solidFill>
          </w14:textFill>
        </w:rPr>
      </w:pP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color w:val="000000" w:themeColor="text1"/>
          <w:lang w:val="en"/>
          <w14:textFill>
            <w14:solidFill>
              <w14:schemeClr w14:val="tx1"/>
            </w14:solidFill>
          </w14:textFill>
        </w:rPr>
        <w:t>2022</w:t>
      </w:r>
      <w:r>
        <w:rPr>
          <w:rFonts w:hint="eastAsia" w:ascii="仿宋_GB2312" w:hAnsi="Times New Roman"/>
          <w:color w:val="000000" w:themeColor="text1"/>
          <w14:textFill>
            <w14:solidFill>
              <w14:schemeClr w14:val="tx1"/>
            </w14:solidFill>
          </w14:textFill>
        </w:rPr>
        <w:t>年以来，东莞市司法局积极落实“放管服”改革精神，严格按照市委、市政府和省司法厅的工作部署，以审批便民为宗旨，在行政许可实施和监督管理方面坚持做到依法依规准入、注重事中事后监管、不断优化审批工作。东莞市司法局办理的行政许可事项涉及律师和律师事务所、鉴定人和鉴定机构、公证员以及法律职业资格申办等方面，共计77项办理事项，具体情况报告如下：</w:t>
      </w:r>
    </w:p>
    <w:p>
      <w:pPr>
        <w:ind w:firstLine="67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一、基本情况</w:t>
      </w:r>
    </w:p>
    <w:p>
      <w:pPr>
        <w:ind w:firstLine="670" w:firstLineChars="200"/>
        <w:rPr>
          <w:rFonts w:hint="eastAsia" w:ascii="楷体_GB2312" w:hAnsi="楷体_GB2312" w:eastAsia="楷体_GB2312" w:cs="楷体_GB2312"/>
          <w:b/>
          <w:bCs w:val="0"/>
          <w:color w:val="000000" w:themeColor="text1"/>
          <w14:textFill>
            <w14:solidFill>
              <w14:schemeClr w14:val="tx1"/>
            </w14:solidFill>
          </w14:textFill>
        </w:rPr>
      </w:pPr>
      <w:r>
        <w:rPr>
          <w:rFonts w:hint="eastAsia" w:ascii="楷体_GB2312" w:hAnsi="楷体_GB2312" w:eastAsia="楷体_GB2312" w:cs="楷体_GB2312"/>
          <w:b/>
          <w:bCs w:val="0"/>
          <w:color w:val="000000" w:themeColor="text1"/>
          <w14:textFill>
            <w14:solidFill>
              <w14:schemeClr w14:val="tx1"/>
            </w14:solidFill>
          </w14:textFill>
        </w:rPr>
        <w:t>（一）行政审批改革任务落实情况</w:t>
      </w: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1.</w:t>
      </w:r>
      <w:r>
        <w:rPr>
          <w:rFonts w:hint="eastAsia" w:ascii="仿宋_GB2312" w:hAnsi="Times New Roman"/>
          <w:b/>
          <w:bCs/>
          <w:color w:val="000000" w:themeColor="text1"/>
          <w:lang w:val="en"/>
          <w14:textFill>
            <w14:solidFill>
              <w14:schemeClr w14:val="tx1"/>
            </w14:solidFill>
          </w14:textFill>
        </w:rPr>
        <w:t>2022</w:t>
      </w:r>
      <w:r>
        <w:rPr>
          <w:rFonts w:hint="eastAsia" w:ascii="仿宋_GB2312" w:hAnsi="Times New Roman"/>
          <w:b/>
          <w:bCs/>
          <w:color w:val="000000" w:themeColor="text1"/>
          <w14:textFill>
            <w14:solidFill>
              <w14:schemeClr w14:val="tx1"/>
            </w14:solidFill>
          </w14:textFill>
        </w:rPr>
        <w:t>年市本级取消、下放行政许可事项落实情况。</w:t>
      </w:r>
      <w:r>
        <w:rPr>
          <w:rFonts w:hint="eastAsia" w:ascii="仿宋_GB2312" w:hAnsi="Times New Roman"/>
          <w:color w:val="000000" w:themeColor="text1"/>
          <w14:textFill>
            <w14:solidFill>
              <w14:schemeClr w14:val="tx1"/>
            </w14:solidFill>
          </w14:textFill>
        </w:rPr>
        <w:t>东莞市司法局受省司法厅委托实施行政许可事项的办理，均在市本级行使，没有市本级取消和下放事项。</w:t>
      </w:r>
    </w:p>
    <w:p>
      <w:pPr>
        <w:ind w:firstLine="670" w:firstLineChars="200"/>
        <w:rPr>
          <w:rFonts w:hint="eastAsia" w:ascii="仿宋_GB2312" w:hAnsi="Times New Roman" w:eastAsia="仿宋_GB2312"/>
          <w:color w:val="000000" w:themeColor="text1"/>
          <w:lang w:eastAsia="zh-CN"/>
          <w14:textFill>
            <w14:solidFill>
              <w14:schemeClr w14:val="tx1"/>
            </w14:solidFill>
          </w14:textFill>
        </w:rPr>
        <w:sectPr>
          <w:footerReference r:id="rId3" w:type="default"/>
          <w:footerReference r:id="rId4" w:type="even"/>
          <w:pgSz w:w="11906" w:h="16838"/>
          <w:pgMar w:top="2211" w:right="1588" w:bottom="1871" w:left="1588" w:header="851" w:footer="1474" w:gutter="0"/>
          <w:pgNumType w:fmt="decimal"/>
          <w:cols w:space="720" w:num="1"/>
          <w:docGrid w:type="linesAndChars" w:linePitch="579" w:charSpace="3229"/>
        </w:sectPr>
      </w:pPr>
      <w:r>
        <w:rPr>
          <w:rFonts w:hint="eastAsia" w:ascii="仿宋_GB2312" w:hAnsi="Times New Roman"/>
          <w:b/>
          <w:bCs/>
          <w:color w:val="000000" w:themeColor="text1"/>
          <w14:textFill>
            <w14:solidFill>
              <w14:schemeClr w14:val="tx1"/>
            </w14:solidFill>
          </w14:textFill>
        </w:rPr>
        <w:t>2.行政许可事项标准实施情况。</w:t>
      </w:r>
      <w:r>
        <w:rPr>
          <w:rFonts w:hint="eastAsia" w:ascii="仿宋_GB2312" w:hAnsi="Times New Roman"/>
          <w:color w:val="000000" w:themeColor="text1"/>
          <w14:textFill>
            <w14:solidFill>
              <w14:schemeClr w14:val="tx1"/>
            </w14:solidFill>
          </w14:textFill>
        </w:rPr>
        <w:t>完成了行政许可事项标准化编制，在广东政务服务网上公开发布，及时根据省司法厅出台的变更措施及时进行相应调整81宗次，</w:t>
      </w:r>
      <w:r>
        <w:rPr>
          <w:rFonts w:hint="eastAsia" w:ascii="仿宋_GB2312" w:hAnsi="Times New Roman"/>
          <w:color w:val="000000" w:themeColor="text1"/>
          <w:lang w:eastAsia="zh-CN"/>
          <w14:textFill>
            <w14:solidFill>
              <w14:schemeClr w14:val="tx1"/>
            </w14:solidFill>
          </w14:textFill>
        </w:rPr>
        <w:t>实行动态管理</w:t>
      </w:r>
    </w:p>
    <w:p>
      <w:pPr>
        <w:rPr>
          <w:rFonts w:ascii="仿宋_GB2312" w:hAnsi="Times New Roman"/>
          <w:color w:val="000000" w:themeColor="text1"/>
          <w14:textFill>
            <w14:solidFill>
              <w14:schemeClr w14:val="tx1"/>
            </w14:solidFill>
          </w14:textFill>
        </w:rPr>
      </w:pPr>
      <w:r>
        <w:rPr>
          <w:rFonts w:hint="eastAsia" w:ascii="仿宋_GB2312" w:hAnsi="Times New Roman"/>
          <w:color w:val="000000" w:themeColor="text1"/>
          <w14:textFill>
            <w14:solidFill>
              <w14:schemeClr w14:val="tx1"/>
            </w14:solidFill>
          </w14:textFill>
        </w:rPr>
        <w:t>理。全部申请事项均依时完成审批。</w:t>
      </w: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3.</w:t>
      </w:r>
      <w:r>
        <w:rPr>
          <w:rFonts w:hint="eastAsia" w:ascii="仿宋_GB2312" w:hAnsi="Times New Roman"/>
          <w:b/>
          <w:bCs/>
          <w:color w:val="000000" w:themeColor="text1"/>
          <w:lang w:val="en"/>
          <w14:textFill>
            <w14:solidFill>
              <w14:schemeClr w14:val="tx1"/>
            </w14:solidFill>
          </w14:textFill>
        </w:rPr>
        <w:t>2022</w:t>
      </w:r>
      <w:r>
        <w:rPr>
          <w:rFonts w:hint="eastAsia" w:ascii="仿宋_GB2312" w:hAnsi="Times New Roman"/>
          <w:b/>
          <w:bCs/>
          <w:color w:val="000000" w:themeColor="text1"/>
          <w14:textFill>
            <w14:solidFill>
              <w14:schemeClr w14:val="tx1"/>
            </w14:solidFill>
          </w14:textFill>
        </w:rPr>
        <w:t>年市本级清理规范行政审批中介服务事项落实情况。</w:t>
      </w:r>
      <w:r>
        <w:rPr>
          <w:rFonts w:hint="eastAsia" w:ascii="仿宋_GB2312" w:hAnsi="Times New Roman"/>
          <w:color w:val="000000" w:themeColor="text1"/>
          <w14:textFill>
            <w14:solidFill>
              <w14:schemeClr w14:val="tx1"/>
            </w14:solidFill>
          </w14:textFill>
        </w:rPr>
        <w:t>此前已根据司法部、省司法厅的清理事项要求，将无法定依据的行政审批中介服务事项一律取消，</w:t>
      </w:r>
      <w:r>
        <w:rPr>
          <w:rFonts w:hint="eastAsia" w:ascii="仿宋_GB2312" w:hAnsi="Times New Roman"/>
          <w:color w:val="000000" w:themeColor="text1"/>
          <w:lang w:val="en"/>
          <w14:textFill>
            <w14:solidFill>
              <w14:schemeClr w14:val="tx1"/>
            </w14:solidFill>
          </w14:textFill>
        </w:rPr>
        <w:t>2022</w:t>
      </w:r>
      <w:r>
        <w:rPr>
          <w:rFonts w:hint="eastAsia" w:ascii="仿宋_GB2312" w:hAnsi="Times New Roman"/>
          <w:color w:val="000000" w:themeColor="text1"/>
          <w14:textFill>
            <w14:solidFill>
              <w14:schemeClr w14:val="tx1"/>
            </w14:solidFill>
          </w14:textFill>
        </w:rPr>
        <w:t>年没有新增清理事项。</w:t>
      </w:r>
    </w:p>
    <w:p>
      <w:pPr>
        <w:ind w:firstLine="670" w:firstLineChars="200"/>
        <w:rPr>
          <w:rFonts w:hint="eastAsia" w:ascii="楷体_GB2312" w:hAnsi="楷体_GB2312" w:eastAsia="楷体_GB2312" w:cs="楷体_GB2312"/>
          <w:b/>
          <w:bCs w:val="0"/>
          <w:color w:val="000000" w:themeColor="text1"/>
          <w14:textFill>
            <w14:solidFill>
              <w14:schemeClr w14:val="tx1"/>
            </w14:solidFill>
          </w14:textFill>
        </w:rPr>
      </w:pPr>
      <w:r>
        <w:rPr>
          <w:rFonts w:hint="eastAsia" w:ascii="楷体_GB2312" w:hAnsi="楷体_GB2312" w:eastAsia="楷体_GB2312" w:cs="楷体_GB2312"/>
          <w:b/>
          <w:bCs w:val="0"/>
          <w:color w:val="000000" w:themeColor="text1"/>
          <w14:textFill>
            <w14:solidFill>
              <w14:schemeClr w14:val="tx1"/>
            </w14:solidFill>
          </w14:textFill>
        </w:rPr>
        <w:t>（二）行政许可事项实施情况</w:t>
      </w: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4.事项办理情况。</w:t>
      </w:r>
      <w:r>
        <w:rPr>
          <w:rFonts w:hint="eastAsia" w:ascii="仿宋_GB2312" w:hAnsi="Times New Roman"/>
          <w:color w:val="000000" w:themeColor="text1"/>
          <w14:textFill>
            <w14:solidFill>
              <w14:schemeClr w14:val="tx1"/>
            </w14:solidFill>
          </w14:textFill>
        </w:rPr>
        <w:t>东莞市司法局现有77项行政许可事项（办理项），全部进驻广东政务服务网和综合窗，可网上办理事项77项，网上办理率为100%，所有事项均须使用省垂各业务系统全流程办理。</w:t>
      </w: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5.事项办结情况。</w:t>
      </w:r>
      <w:r>
        <w:rPr>
          <w:rFonts w:hint="eastAsia" w:ascii="仿宋_GB2312" w:hAnsi="Times New Roman"/>
          <w:color w:val="000000" w:themeColor="text1"/>
          <w:lang w:val="en"/>
          <w14:textFill>
            <w14:solidFill>
              <w14:schemeClr w14:val="tx1"/>
            </w14:solidFill>
          </w14:textFill>
        </w:rPr>
        <w:t>2022</w:t>
      </w:r>
      <w:r>
        <w:rPr>
          <w:rFonts w:hint="eastAsia" w:ascii="仿宋_GB2312" w:hAnsi="Times New Roman"/>
          <w:color w:val="000000" w:themeColor="text1"/>
          <w14:textFill>
            <w14:solidFill>
              <w14:schemeClr w14:val="tx1"/>
            </w14:solidFill>
          </w14:textFill>
        </w:rPr>
        <w:t>年事项申请量1500宗、办结量1332宗、不予受理168宗、不予批准0宗，办结率100%，网上办结率100%、超期办结数0。其中不予受理的事项原因为律师业务，申请人网上申请发现错误后主动申请撤回、或超过补正时限后无法补正申请撤回的。</w:t>
      </w: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6.公开公示情况。</w:t>
      </w:r>
      <w:r>
        <w:rPr>
          <w:rFonts w:hint="eastAsia" w:ascii="仿宋_GB2312" w:hAnsi="Times New Roman"/>
          <w:color w:val="000000" w:themeColor="text1"/>
          <w14:textFill>
            <w14:solidFill>
              <w14:schemeClr w14:val="tx1"/>
            </w14:solidFill>
          </w14:textFill>
        </w:rPr>
        <w:t>全部77项行政许可事项办事指南均在广东省政务服务网发布公示，办事群众登录可查事项的办理进度和审批结果。行政许可决定作出后及时上传至“东莞市政务信息资源共享管理平台”进行公示，全年“双公示”信息量为：</w:t>
      </w:r>
      <w:r>
        <w:rPr>
          <w:rFonts w:hint="eastAsia" w:ascii="仿宋_GB2312" w:hAnsi="Times New Roman"/>
          <w:color w:val="000000" w:themeColor="text1"/>
          <w:highlight w:val="none"/>
          <w14:textFill>
            <w14:solidFill>
              <w14:schemeClr w14:val="tx1"/>
            </w14:solidFill>
          </w14:textFill>
        </w:rPr>
        <w:t>行政许可</w:t>
      </w:r>
      <w:r>
        <w:rPr>
          <w:rFonts w:hint="eastAsia" w:ascii="仿宋_GB2312" w:hAnsi="Times New Roman"/>
          <w:color w:val="000000" w:themeColor="text1"/>
          <w:highlight w:val="none"/>
          <w:lang w:val="en-US" w:eastAsia="zh-CN"/>
          <w14:textFill>
            <w14:solidFill>
              <w14:schemeClr w14:val="tx1"/>
            </w14:solidFill>
          </w14:textFill>
        </w:rPr>
        <w:t>1332</w:t>
      </w:r>
      <w:r>
        <w:rPr>
          <w:rFonts w:hint="eastAsia" w:ascii="仿宋_GB2312" w:hAnsi="Times New Roman"/>
          <w:color w:val="000000" w:themeColor="text1"/>
          <w:highlight w:val="none"/>
          <w14:textFill>
            <w14:solidFill>
              <w14:schemeClr w14:val="tx1"/>
            </w14:solidFill>
          </w14:textFill>
        </w:rPr>
        <w:t>条、行政处罚</w:t>
      </w:r>
      <w:r>
        <w:rPr>
          <w:rFonts w:hint="default" w:ascii="仿宋_GB2312" w:hAnsi="Times New Roman"/>
          <w:color w:val="000000" w:themeColor="text1"/>
          <w:highlight w:val="none"/>
          <w:lang w:val="en"/>
          <w14:textFill>
            <w14:solidFill>
              <w14:schemeClr w14:val="tx1"/>
            </w14:solidFill>
          </w14:textFill>
        </w:rPr>
        <w:t>4</w:t>
      </w:r>
      <w:r>
        <w:rPr>
          <w:rFonts w:hint="eastAsia" w:ascii="仿宋_GB2312" w:hAnsi="Times New Roman"/>
          <w:color w:val="000000" w:themeColor="text1"/>
          <w:highlight w:val="none"/>
          <w14:textFill>
            <w14:solidFill>
              <w14:schemeClr w14:val="tx1"/>
            </w14:solidFill>
          </w14:textFill>
        </w:rPr>
        <w:t>条。</w:t>
      </w:r>
    </w:p>
    <w:p>
      <w:pPr>
        <w:ind w:firstLine="670" w:firstLineChars="200"/>
        <w:rPr>
          <w:rFonts w:hint="eastAsia" w:ascii="楷体_GB2312" w:hAnsi="楷体_GB2312" w:eastAsia="楷体_GB2312" w:cs="楷体_GB2312"/>
          <w:b/>
          <w:bCs w:val="0"/>
          <w:color w:val="000000" w:themeColor="text1"/>
          <w14:textFill>
            <w14:solidFill>
              <w14:schemeClr w14:val="tx1"/>
            </w14:solidFill>
          </w14:textFill>
        </w:rPr>
      </w:pPr>
      <w:r>
        <w:rPr>
          <w:rFonts w:hint="eastAsia" w:ascii="楷体_GB2312" w:hAnsi="楷体_GB2312" w:eastAsia="楷体_GB2312" w:cs="楷体_GB2312"/>
          <w:b/>
          <w:bCs w:val="0"/>
          <w:color w:val="000000" w:themeColor="text1"/>
          <w14:textFill>
            <w14:solidFill>
              <w14:schemeClr w14:val="tx1"/>
            </w14:solidFill>
          </w14:textFill>
        </w:rPr>
        <w:t>（三）加强事中事后监管情况</w:t>
      </w:r>
    </w:p>
    <w:p>
      <w:pPr>
        <w:ind w:firstLine="670" w:firstLineChars="200"/>
        <w:rPr>
          <w:rFonts w:ascii="仿宋_GB2312" w:hAnsi="Times New Roman"/>
          <w:b/>
          <w:bCs/>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7.建立健全监管制度情况。</w:t>
      </w:r>
      <w:r>
        <w:rPr>
          <w:rFonts w:hint="eastAsia" w:ascii="仿宋_GB2312" w:hAnsi="Times New Roman"/>
          <w:color w:val="000000" w:themeColor="text1"/>
          <w14:textFill>
            <w14:solidFill>
              <w14:schemeClr w14:val="tx1"/>
            </w14:solidFill>
          </w14:textFill>
        </w:rPr>
        <w:t>（1）以“双随机</w:t>
      </w:r>
      <w:r>
        <w:rPr>
          <w:rFonts w:hint="eastAsia" w:ascii="仿宋_GB2312" w:hAnsi="Times New Roman"/>
          <w:color w:val="000000" w:themeColor="text1"/>
          <w:lang w:eastAsia="zh-CN"/>
          <w14:textFill>
            <w14:solidFill>
              <w14:schemeClr w14:val="tx1"/>
            </w14:solidFill>
          </w14:textFill>
        </w:rPr>
        <w:t>、</w:t>
      </w:r>
      <w:r>
        <w:rPr>
          <w:rFonts w:hint="eastAsia" w:ascii="仿宋_GB2312" w:hAnsi="Times New Roman"/>
          <w:color w:val="000000" w:themeColor="text1"/>
          <w14:textFill>
            <w14:solidFill>
              <w14:schemeClr w14:val="tx1"/>
            </w14:solidFill>
          </w14:textFill>
        </w:rPr>
        <w:t>一公开”作为主要的监管方式，落实《关于东莞市律师事务所常态化检查方案》，建立随机抽查事项清单，组织实地检查和文书评查等活动，依法对各机构和执业人员进行监督管理。（2）贯彻执行省司法厅制定的关于司法鉴定事中事后监管标准、办法等制度。</w:t>
      </w:r>
    </w:p>
    <w:p>
      <w:pPr>
        <w:spacing w:line="560" w:lineRule="exact"/>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8.开展监管情况。</w:t>
      </w:r>
      <w:r>
        <w:rPr>
          <w:rFonts w:hint="eastAsia" w:ascii="仿宋_GB2312" w:hAnsi="Times New Roman"/>
          <w:color w:val="000000" w:themeColor="text1"/>
          <w14:textFill>
            <w14:solidFill>
              <w14:schemeClr w14:val="tx1"/>
            </w14:solidFill>
          </w14:textFill>
        </w:rPr>
        <w:t>（1）组织完成311家律师事务所的年度检查考核，完成4252名律师的考核工作。积极开展“双随机</w:t>
      </w:r>
      <w:r>
        <w:rPr>
          <w:rFonts w:hint="eastAsia" w:ascii="仿宋_GB2312" w:hAnsi="Times New Roman"/>
          <w:color w:val="000000" w:themeColor="text1"/>
          <w:lang w:eastAsia="zh-CN"/>
          <w14:textFill>
            <w14:solidFill>
              <w14:schemeClr w14:val="tx1"/>
            </w14:solidFill>
          </w14:textFill>
        </w:rPr>
        <w:t>、</w:t>
      </w:r>
      <w:r>
        <w:rPr>
          <w:rFonts w:hint="eastAsia" w:ascii="仿宋_GB2312" w:hAnsi="Times New Roman"/>
          <w:color w:val="000000" w:themeColor="text1"/>
          <w14:textFill>
            <w14:solidFill>
              <w14:schemeClr w14:val="tx1"/>
            </w14:solidFill>
          </w14:textFill>
        </w:rPr>
        <w:t>一公开”抽查，围绕确保律师行业正确的政治方向等七个方面内容抽取30家律师事务所180个卷宗进行重点实地检查。开展律师事务所重大事项变更实地检查，共实地检查律师事务所66家。（2）</w:t>
      </w:r>
      <w:r>
        <w:rPr>
          <w:rFonts w:hint="eastAsia" w:ascii="仿宋_GB2312" w:hAnsi="仿宋_GB2312" w:cs="仿宋_GB2312"/>
          <w:color w:val="000000" w:themeColor="text1"/>
          <w14:textFill>
            <w14:solidFill>
              <w14:schemeClr w14:val="tx1"/>
            </w14:solidFill>
          </w14:textFill>
        </w:rPr>
        <w:t>根据省、市“双随机</w:t>
      </w:r>
      <w:r>
        <w:rPr>
          <w:rFonts w:hint="eastAsia" w:ascii="仿宋_GB2312" w:hAnsi="仿宋_GB2312" w:cs="仿宋_GB2312"/>
          <w:color w:val="000000" w:themeColor="text1"/>
          <w:lang w:eastAsia="zh-CN"/>
          <w14:textFill>
            <w14:solidFill>
              <w14:schemeClr w14:val="tx1"/>
            </w14:solidFill>
          </w14:textFill>
        </w:rPr>
        <w:t>、</w:t>
      </w:r>
      <w:r>
        <w:rPr>
          <w:rFonts w:hint="eastAsia" w:ascii="仿宋_GB2312" w:hAnsi="仿宋_GB2312" w:cs="仿宋_GB2312"/>
          <w:color w:val="000000" w:themeColor="text1"/>
          <w14:textFill>
            <w14:solidFill>
              <w14:schemeClr w14:val="tx1"/>
            </w14:solidFill>
          </w14:textFill>
        </w:rPr>
        <w:t>一公开”有关文件的精神和要求，按照《2022 年东莞市跨部门“双随机、一公开”联合抽查工作计划》，</w:t>
      </w:r>
      <w:r>
        <w:rPr>
          <w:rFonts w:hint="eastAsia" w:ascii="仿宋_GB2312" w:hAnsi="仿宋_GB2312" w:cs="仿宋_GB2312"/>
          <w:color w:val="000000" w:themeColor="text1"/>
          <w:lang w:val="en"/>
          <w14:textFill>
            <w14:solidFill>
              <w14:schemeClr w14:val="tx1"/>
            </w14:solidFill>
          </w14:textFill>
        </w:rPr>
        <w:t>2022年</w:t>
      </w:r>
      <w:r>
        <w:rPr>
          <w:rFonts w:hint="eastAsia" w:ascii="仿宋_GB2312" w:hAnsi="仿宋_GB2312" w:cs="仿宋_GB2312"/>
          <w:color w:val="000000" w:themeColor="text1"/>
          <w14:textFill>
            <w14:solidFill>
              <w14:schemeClr w14:val="tx1"/>
            </w14:solidFill>
          </w14:textFill>
        </w:rPr>
        <w:t>8月23日，我局与市市场监管局联合开展一次司法鉴定“双随机</w:t>
      </w:r>
      <w:r>
        <w:rPr>
          <w:rFonts w:hint="eastAsia" w:ascii="仿宋_GB2312" w:hAnsi="仿宋_GB2312" w:cs="仿宋_GB2312"/>
          <w:color w:val="000000" w:themeColor="text1"/>
          <w:lang w:eastAsia="zh-CN"/>
          <w14:textFill>
            <w14:solidFill>
              <w14:schemeClr w14:val="tx1"/>
            </w14:solidFill>
          </w14:textFill>
        </w:rPr>
        <w:t>、</w:t>
      </w:r>
      <w:bookmarkStart w:id="1" w:name="_GoBack"/>
      <w:bookmarkEnd w:id="1"/>
      <w:r>
        <w:rPr>
          <w:rFonts w:hint="eastAsia" w:ascii="仿宋_GB2312" w:hAnsi="仿宋_GB2312" w:cs="仿宋_GB2312"/>
          <w:color w:val="000000" w:themeColor="text1"/>
          <w14:textFill>
            <w14:solidFill>
              <w14:schemeClr w14:val="tx1"/>
            </w14:solidFill>
          </w14:textFill>
        </w:rPr>
        <w:t>一公开”抽查活动，检查对象为取得市场监管部门核发资质认定（CMA）证书的司法鉴定机构及其司法鉴定人，检查方式为现场检查。市场监管局着重从价格收费方面进行检查。我局从业务流程、工作规范角度开展检查。发现问题在现场检查中当面指出，在执法检查记录单及时登记。2022年10月12日我局对该问题进行行政处罚立案，11月15日出具行政处罚决定书，并及时在信用东莞、行政执法平台进行“双公示”。(3)</w:t>
      </w:r>
      <w:r>
        <w:rPr>
          <w:rFonts w:hint="eastAsia" w:ascii="仿宋_GB2312" w:hAnsi="Times New Roman"/>
          <w:color w:val="000000" w:themeColor="text1"/>
          <w14:textFill>
            <w14:solidFill>
              <w14:schemeClr w14:val="tx1"/>
            </w14:solidFill>
          </w14:textFill>
        </w:rPr>
        <w:t xml:space="preserve"> 加强对公证机构的行政检查和质量检查。一是对机构和公证员的办证质量加强监管。公证管理科全年共组织开展3次公证文书质量检查，并根据省厅要求与中山、惠州开展涉外公证档案交叉检查，推动各公证机构加强公证质量管理，建立健全公证文书质量自查工作机制</w:t>
      </w:r>
      <w:r>
        <w:rPr>
          <w:rFonts w:hint="eastAsia" w:ascii="仿宋_GB2312" w:hAnsi="Times New Roman"/>
          <w:color w:val="000000" w:themeColor="text1"/>
          <w:lang w:val="en"/>
          <w14:textFill>
            <w14:solidFill>
              <w14:schemeClr w14:val="tx1"/>
            </w14:solidFill>
          </w14:textFill>
        </w:rPr>
        <w:t>，进一步</w:t>
      </w:r>
      <w:r>
        <w:rPr>
          <w:rFonts w:hint="eastAsia" w:ascii="仿宋_GB2312" w:hAnsi="Times New Roman"/>
          <w:color w:val="000000" w:themeColor="text1"/>
          <w14:textFill>
            <w14:solidFill>
              <w14:schemeClr w14:val="tx1"/>
            </w14:solidFill>
          </w14:textFill>
        </w:rPr>
        <w:t>规范公证执业行为。二是对局属3家公证机构、41名公证员进行检查4次并录入行政执法双公示系统，未发现公证机构和公证员在执业过程中存在违法违规现象，执业活动均符合相关工作要求，年终考核等检查结果及时上报省厅，通知公证机构及公证员本人。</w:t>
      </w:r>
    </w:p>
    <w:p>
      <w:pPr>
        <w:spacing w:line="600" w:lineRule="exact"/>
        <w:ind w:firstLine="670" w:firstLineChars="200"/>
        <w:rPr>
          <w:rFonts w:ascii="仿宋_GB2312" w:hAnsi="Times New Roman"/>
          <w:b/>
          <w:bCs/>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9.创新监管方式情况。</w:t>
      </w: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color w:val="000000" w:themeColor="text1"/>
          <w14:textFill>
            <w14:solidFill>
              <w14:schemeClr w14:val="tx1"/>
            </w14:solidFill>
          </w14:textFill>
        </w:rPr>
        <w:t>线上通过12345热线、局门户网站、网上信访、群众来电来函等渠道监督执业情况。建立了QQ群、微信工作交流群等，日常发布通知和相关政策文件，发现问题及时处理。</w:t>
      </w:r>
    </w:p>
    <w:p>
      <w:pPr>
        <w:ind w:firstLine="670" w:firstLineChars="200"/>
        <w:rPr>
          <w:rFonts w:ascii="仿宋_GB2312" w:hAnsi="Times New Roman"/>
          <w:b/>
          <w:color w:val="000000" w:themeColor="text1"/>
          <w14:textFill>
            <w14:solidFill>
              <w14:schemeClr w14:val="tx1"/>
            </w14:solidFill>
          </w14:textFill>
        </w:rPr>
      </w:pPr>
      <w:r>
        <w:rPr>
          <w:rFonts w:hint="eastAsia" w:ascii="仿宋_GB2312" w:hAnsi="Times New Roman"/>
          <w:color w:val="000000" w:themeColor="text1"/>
          <w14:textFill>
            <w14:solidFill>
              <w14:schemeClr w14:val="tx1"/>
            </w14:solidFill>
          </w14:textFill>
        </w:rPr>
        <w:t>线下通过对执业机构进行交叉检查、专项检查、能力考核等方式进行监管，注重在审批过程中发现问题、投诉事项中排查问题做好事中事后监管。</w:t>
      </w:r>
      <w:r>
        <w:rPr>
          <w:rFonts w:hint="eastAsia" w:ascii="仿宋_GB2312" w:hAnsi="宋体" w:cs="宋体"/>
          <w:color w:val="000000" w:themeColor="text1"/>
          <w14:textFill>
            <w14:solidFill>
              <w14:schemeClr w14:val="tx1"/>
            </w14:solidFill>
          </w14:textFill>
        </w:rPr>
        <w:t>为规范和监督司法鉴定执业活动，提高司法鉴定服务水平，适应新形势下司法鉴定信息化建设的要求，我市正在试用</w:t>
      </w:r>
      <w:r>
        <w:rPr>
          <w:rFonts w:hint="eastAsia" w:ascii="仿宋_GB2312" w:hAnsi="宋体" w:cs="宋体"/>
          <w:color w:val="000000" w:themeColor="text1"/>
          <w:lang w:val="en"/>
          <w14:textFill>
            <w14:solidFill>
              <w14:schemeClr w14:val="tx1"/>
            </w14:solidFill>
          </w14:textFill>
        </w:rPr>
        <w:t>省厅</w:t>
      </w:r>
      <w:r>
        <w:rPr>
          <w:rFonts w:hint="eastAsia" w:ascii="仿宋_GB2312" w:hAnsi="宋体" w:cs="宋体"/>
          <w:color w:val="000000" w:themeColor="text1"/>
          <w14:textFill>
            <w14:solidFill>
              <w14:schemeClr w14:val="tx1"/>
            </w14:solidFill>
          </w14:textFill>
        </w:rPr>
        <w:t>开发的“广东省司法鉴定业务管理系统”。</w:t>
      </w:r>
    </w:p>
    <w:p>
      <w:pPr>
        <w:ind w:firstLine="670" w:firstLineChars="200"/>
        <w:rPr>
          <w:rFonts w:hint="eastAsia" w:ascii="楷体_GB2312" w:hAnsi="楷体_GB2312" w:eastAsia="楷体_GB2312" w:cs="楷体_GB2312"/>
          <w:b/>
          <w:bCs w:val="0"/>
          <w:color w:val="000000" w:themeColor="text1"/>
          <w14:textFill>
            <w14:solidFill>
              <w14:schemeClr w14:val="tx1"/>
            </w14:solidFill>
          </w14:textFill>
        </w:rPr>
      </w:pPr>
      <w:r>
        <w:rPr>
          <w:rFonts w:hint="eastAsia" w:ascii="楷体_GB2312" w:hAnsi="楷体_GB2312" w:eastAsia="楷体_GB2312" w:cs="楷体_GB2312"/>
          <w:b/>
          <w:bCs w:val="0"/>
          <w:color w:val="000000" w:themeColor="text1"/>
          <w14:textFill>
            <w14:solidFill>
              <w14:schemeClr w14:val="tx1"/>
            </w14:solidFill>
          </w14:textFill>
        </w:rPr>
        <w:t>（四）创新和优化服务情况</w:t>
      </w:r>
    </w:p>
    <w:p>
      <w:pPr>
        <w:ind w:firstLine="670" w:firstLineChars="200"/>
        <w:rPr>
          <w:rFonts w:ascii="仿宋_GB2312" w:hAnsi="Times New Roman"/>
          <w:b/>
          <w:bCs/>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10.提高服务质量情况。</w:t>
      </w:r>
      <w:r>
        <w:rPr>
          <w:rFonts w:hint="eastAsia" w:ascii="仿宋_GB2312" w:hAnsi="Times New Roman"/>
          <w:color w:val="000000" w:themeColor="text1"/>
          <w14:textFill>
            <w14:solidFill>
              <w14:schemeClr w14:val="tx1"/>
            </w14:solidFill>
          </w14:textFill>
        </w:rPr>
        <w:t>成立东莞市司法局行政审批工作团队，派员进驻市民服务中心政务大厅，打造“一站式”服务。坚持一次性告知、优化办理流程、简化申请材料、缩减办事时限，减少申请人跑动次数等做法，提高办事效率和服务质量。组织律师事务所、鉴定机构和公证机构的行政人员组建工作微信群，及时传递最新许可工作要求，解答审批事项疑问。梳理常见问题解答内容，部署在广东政务服务网的智能咨询问答平台和12345智能回复平台，便于办事人员查找和解答。另外，东莞市司法局在广东政务服务网公示办事指南的同时向社会公示了监督方式和救济途径，建立了公民、法人和其他组织对行政执法中的违法和不当行为的投诉举报制度。</w:t>
      </w: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11.优化办理流程情况。</w:t>
      </w:r>
      <w:r>
        <w:rPr>
          <w:rFonts w:hint="eastAsia" w:ascii="仿宋_GB2312" w:hAnsi="Times New Roman"/>
          <w:color w:val="000000" w:themeColor="text1"/>
          <w14:textFill>
            <w14:solidFill>
              <w14:schemeClr w14:val="tx1"/>
            </w14:solidFill>
          </w14:textFill>
        </w:rPr>
        <w:t>设立网上预约和预审机制，申办材料经机构审核流转到审批后台后，审批发现问题的及时通知申办人进行补正，审批人员审查无误后通知申办人到现场提交纸质材料，避免了因资料填写出现问题导致的多次跑动。将律师执业变更审核5个办理项归并成2项，简化了律师执业变更审核事项。</w:t>
      </w: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12.精简办事材料情况。</w:t>
      </w: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color w:val="000000" w:themeColor="text1"/>
          <w14:textFill>
            <w14:solidFill>
              <w14:schemeClr w14:val="tx1"/>
            </w14:solidFill>
          </w14:textFill>
        </w:rPr>
        <w:t>（1）审查颁发公职律师证书等9项审批事项免提交纸质材料；（2）6项律师、律师事务所执业许可事项推行证明事项告知承诺制；（3）鉴定机构设立，鉴定人执业申请中关于无犯罪记录无职务犯罪记录等内容落实“告知+承诺”办理模式。</w:t>
      </w: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13.缩短办事时限情况。</w:t>
      </w:r>
      <w:r>
        <w:rPr>
          <w:rFonts w:hint="eastAsia" w:ascii="仿宋_GB2312" w:hAnsi="Times New Roman"/>
          <w:color w:val="000000" w:themeColor="text1"/>
          <w14:textFill>
            <w14:solidFill>
              <w14:schemeClr w14:val="tx1"/>
            </w14:solidFill>
          </w14:textFill>
        </w:rPr>
        <w:t>受省司法厅委托在市本级实施的行政许可事项均在法定时限的基础上压缩近70%，由30个工作日压缩至10个工作日左右。</w:t>
      </w:r>
      <w:r>
        <w:rPr>
          <w:rFonts w:hint="eastAsia" w:ascii="仿宋_GB2312" w:hAnsi="Times New Roman"/>
          <w:color w:val="000000" w:themeColor="text1"/>
          <w:lang w:val="en"/>
          <w14:textFill>
            <w14:solidFill>
              <w14:schemeClr w14:val="tx1"/>
            </w14:solidFill>
          </w14:textFill>
        </w:rPr>
        <w:t>其中</w:t>
      </w:r>
      <w:r>
        <w:rPr>
          <w:rFonts w:hint="eastAsia" w:ascii="仿宋_GB2312" w:hAnsi="Times New Roman"/>
          <w:color w:val="000000" w:themeColor="text1"/>
          <w14:textFill>
            <w14:solidFill>
              <w14:schemeClr w14:val="tx1"/>
            </w14:solidFill>
          </w14:textFill>
        </w:rPr>
        <w:t>司法鉴定行政许可申请</w:t>
      </w:r>
      <w:r>
        <w:rPr>
          <w:rFonts w:hint="eastAsia" w:ascii="仿宋_GB2312" w:hAnsi="Times New Roman"/>
          <w:color w:val="000000" w:themeColor="text1"/>
          <w:lang w:val="en"/>
          <w14:textFill>
            <w14:solidFill>
              <w14:schemeClr w14:val="tx1"/>
            </w14:solidFill>
          </w14:textFill>
        </w:rPr>
        <w:t>自受理</w:t>
      </w:r>
      <w:r>
        <w:rPr>
          <w:rFonts w:hint="eastAsia" w:ascii="仿宋_GB2312" w:hAnsi="Times New Roman"/>
          <w:color w:val="000000" w:themeColor="text1"/>
          <w14:textFill>
            <w14:solidFill>
              <w14:schemeClr w14:val="tx1"/>
            </w14:solidFill>
          </w14:textFill>
        </w:rPr>
        <w:t>之日起，</w:t>
      </w:r>
      <w:r>
        <w:rPr>
          <w:rFonts w:hint="eastAsia" w:ascii="仿宋_GB2312" w:hAnsi="Times New Roman"/>
          <w:color w:val="000000" w:themeColor="text1"/>
          <w:lang w:val="en"/>
          <w14:textFill>
            <w14:solidFill>
              <w14:schemeClr w14:val="tx1"/>
            </w14:solidFill>
          </w14:textFill>
        </w:rPr>
        <w:t>无特殊原因，</w:t>
      </w:r>
      <w:r>
        <w:rPr>
          <w:rFonts w:hint="eastAsia" w:ascii="仿宋_GB2312" w:hAnsi="Times New Roman"/>
          <w:color w:val="000000" w:themeColor="text1"/>
          <w14:textFill>
            <w14:solidFill>
              <w14:schemeClr w14:val="tx1"/>
            </w14:solidFill>
          </w14:textFill>
        </w:rPr>
        <w:t>1个工作日办结行政许可事项。</w:t>
      </w:r>
    </w:p>
    <w:p>
      <w:pPr>
        <w:ind w:firstLine="67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二、取得成效</w:t>
      </w:r>
    </w:p>
    <w:p>
      <w:pPr>
        <w:ind w:firstLine="670" w:firstLineChars="200"/>
        <w:rPr>
          <w:rFonts w:ascii="仿宋_GB2312" w:hAnsi="Times New Roman"/>
          <w:b/>
          <w:bCs/>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14.实施效果。</w:t>
      </w:r>
      <w:r>
        <w:rPr>
          <w:rFonts w:hint="eastAsia" w:ascii="仿宋_GB2312" w:hAnsi="Times New Roman"/>
          <w:color w:val="000000" w:themeColor="text1"/>
          <w14:textFill>
            <w14:solidFill>
              <w14:schemeClr w14:val="tx1"/>
            </w14:solidFill>
          </w14:textFill>
        </w:rPr>
        <w:t>许可业务办理水平和效能持续提升，主要体现在审批服务窗口集中、咨询引导合理有效、工作人员热忱专业，审批流程便捷高效，结合“互联网+政务服务”、“减证便民”的大力推行，广东法律服务网语音、网络、实体平台的共融互通，极大方便了办事群众。</w:t>
      </w: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b/>
          <w:bCs/>
          <w:color w:val="000000" w:themeColor="text1"/>
          <w14:textFill>
            <w14:solidFill>
              <w14:schemeClr w14:val="tx1"/>
            </w14:solidFill>
          </w14:textFill>
        </w:rPr>
        <w:t>15.服务对象对事项办理的满意程度和咨询、投诉举报办理情况。</w:t>
      </w:r>
      <w:r>
        <w:rPr>
          <w:rFonts w:hint="eastAsia" w:ascii="仿宋_GB2312" w:hAnsi="Times New Roman"/>
          <w:color w:val="000000" w:themeColor="text1"/>
          <w14:textFill>
            <w14:solidFill>
              <w14:schemeClr w14:val="tx1"/>
            </w14:solidFill>
          </w14:textFill>
        </w:rPr>
        <w:t>根据好“好差评”系统反馈，我局服务对象对事项办理满意度高，涉及行政许可投诉举报数为零，未发生违规办理行政许可事项情况。</w:t>
      </w:r>
    </w:p>
    <w:p>
      <w:pPr>
        <w:ind w:firstLine="67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三、存在问题和困难</w:t>
      </w: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（一）使用国垂、省垂系统审批数据运用受限。</w:t>
      </w:r>
      <w:r>
        <w:rPr>
          <w:rFonts w:hint="eastAsia" w:ascii="仿宋_GB2312" w:hAnsi="Times New Roman"/>
          <w:color w:val="000000" w:themeColor="text1"/>
          <w14:textFill>
            <w14:solidFill>
              <w14:schemeClr w14:val="tx1"/>
            </w14:solidFill>
          </w14:textFill>
        </w:rPr>
        <w:t>东莞市司法行政业务审批使用省垂直系统为主，在“双公示”等工作方面还需要进行二次录入，重复工作量大。</w:t>
      </w:r>
    </w:p>
    <w:p>
      <w:pPr>
        <w:spacing w:line="600" w:lineRule="exact"/>
        <w:ind w:firstLine="670" w:firstLineChars="200"/>
        <w:rPr>
          <w:rFonts w:ascii="仿宋_GB2312" w:hAnsi="宋体" w:cs="宋体"/>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w:t>
      </w:r>
      <w:r>
        <w:rPr>
          <w:rFonts w:hint="eastAsia" w:ascii="仿宋_GB2312" w:hAnsi="仿宋_GB2312" w:eastAsia="仿宋_GB2312" w:cs="仿宋_GB2312"/>
          <w:color w:val="000000" w:themeColor="text1"/>
          <w:lang w:val="en"/>
          <w14:textFill>
            <w14:solidFill>
              <w14:schemeClr w14:val="tx1"/>
            </w14:solidFill>
          </w14:textFill>
        </w:rPr>
        <w:t>行政许可前置审核材料真实性程序处理时限较长或无法得到书面回复。</w:t>
      </w:r>
      <w:r>
        <w:rPr>
          <w:rFonts w:hint="eastAsia" w:ascii="仿宋_GB2312" w:hAnsi="宋体" w:cs="宋体"/>
          <w:color w:val="000000" w:themeColor="text1"/>
          <w:lang w:val="en"/>
          <w14:textFill>
            <w14:solidFill>
              <w14:schemeClr w14:val="tx1"/>
            </w14:solidFill>
          </w14:textFill>
        </w:rPr>
        <w:t>司法鉴定准入门槛较高。为服务民生，方便群众办事，政务推行“</w:t>
      </w:r>
      <w:r>
        <w:rPr>
          <w:rFonts w:hint="eastAsia" w:ascii="仿宋_GB2312" w:hAnsi="宋体" w:cs="宋体"/>
          <w:color w:val="000000" w:themeColor="text1"/>
          <w14:textFill>
            <w14:solidFill>
              <w14:schemeClr w14:val="tx1"/>
            </w14:solidFill>
          </w14:textFill>
        </w:rPr>
        <w:t>承诺</w:t>
      </w:r>
      <w:r>
        <w:rPr>
          <w:rFonts w:hint="eastAsia" w:ascii="仿宋_GB2312" w:hAnsi="宋体" w:cs="宋体"/>
          <w:color w:val="000000" w:themeColor="text1"/>
          <w:lang w:val="en"/>
          <w14:textFill>
            <w14:solidFill>
              <w14:schemeClr w14:val="tx1"/>
            </w14:solidFill>
          </w14:textFill>
        </w:rPr>
        <w:t>”制，但行业的规范性、法律性又要求全面严格准入，严把“入口关”，绝对不允许提供虚假证明文件或采取欺诈手段骗取登记的情形出现，情节严重的导致撤销登记。办理行政许可时，工作人员应尽责审核当事人申请材料的真实性。尤其对申请人提供的单位退休证明、同意兼职证明（公职或事业单位已不允许在职人员在外兼职领取报酬），技术职称证明、学历证明、从业经历证明及参加了相关培训的证明进行审核。正常渠道是通过发函给相关单位得到函复的方式，</w:t>
      </w:r>
      <w:r>
        <w:rPr>
          <w:rFonts w:hint="eastAsia" w:ascii="仿宋_GB2312" w:hAnsi="宋体" w:cs="宋体"/>
          <w:color w:val="000000" w:themeColor="text1"/>
          <w:lang w:val="en" w:eastAsia="zh-CN"/>
          <w14:textFill>
            <w14:solidFill>
              <w14:schemeClr w14:val="tx1"/>
            </w14:solidFill>
          </w14:textFill>
        </w:rPr>
        <w:t>耗时较长，</w:t>
      </w:r>
      <w:r>
        <w:rPr>
          <w:rFonts w:hint="eastAsia" w:ascii="仿宋_GB2312" w:hAnsi="宋体" w:cs="宋体"/>
          <w:color w:val="000000" w:themeColor="text1"/>
          <w14:textFill>
            <w14:solidFill>
              <w14:schemeClr w14:val="tx1"/>
            </w14:solidFill>
          </w14:textFill>
        </w:rPr>
        <w:t>影响行政许可效率。有的甚至不书面回复，如无书面回复，对不予受理申请或驳回申请无法提供有力支撑。</w:t>
      </w:r>
    </w:p>
    <w:p>
      <w:pPr>
        <w:spacing w:line="600" w:lineRule="exact"/>
        <w:ind w:firstLine="670" w:firstLineChars="200"/>
        <w:rPr>
          <w:rFonts w:ascii="仿宋_GB2312" w:hAnsi="Times New Roman"/>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（三）司法鉴定尚未立法，开展行政许可和监督管理工作无专业法可依。</w:t>
      </w:r>
    </w:p>
    <w:p>
      <w:pPr>
        <w:ind w:firstLine="67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四、下一步的工作措施及有关意见</w:t>
      </w:r>
    </w:p>
    <w:p>
      <w:pPr>
        <w:ind w:firstLine="670" w:firstLineChars="200"/>
        <w:rPr>
          <w:rFonts w:ascii="仿宋_GB2312" w:hAnsi="Times New Roman"/>
          <w:color w:val="000000" w:themeColor="text1"/>
          <w14:textFill>
            <w14:solidFill>
              <w14:schemeClr w14:val="tx1"/>
            </w14:solidFill>
          </w14:textFill>
        </w:rPr>
      </w:pPr>
      <w:r>
        <w:rPr>
          <w:rFonts w:hint="eastAsia" w:ascii="仿宋_GB2312" w:hAnsi="Times New Roman"/>
          <w:color w:val="000000" w:themeColor="text1"/>
          <w14:textFill>
            <w14:solidFill>
              <w14:schemeClr w14:val="tx1"/>
            </w14:solidFill>
          </w14:textFill>
        </w:rPr>
        <w:t>（一）建议省垂业务系统和地市政务服务一体化平台尽早实现数据信息互联互通，各类电子证照信息共享，减少多头、重复录入，切实为审批工作提升效率。</w:t>
      </w:r>
    </w:p>
    <w:p>
      <w:pPr>
        <w:ind w:firstLine="670" w:firstLineChars="200"/>
        <w:rPr>
          <w:rFonts w:hint="eastAsia" w:ascii="仿宋_GB2312" w:hAnsi="仿宋_GB2312" w:cs="仿宋_GB2312"/>
          <w:color w:val="000000" w:themeColor="text1"/>
          <w:lang w:val="en"/>
          <w14:textFill>
            <w14:solidFill>
              <w14:schemeClr w14:val="tx1"/>
            </w14:solidFill>
          </w14:textFill>
        </w:rPr>
      </w:pPr>
      <w:r>
        <w:rPr>
          <w:rFonts w:hint="eastAsia" w:ascii="仿宋_GB2312" w:hAnsi="Times New Roman"/>
          <w:color w:val="000000" w:themeColor="text1"/>
          <w14:textFill>
            <w14:solidFill>
              <w14:schemeClr w14:val="tx1"/>
            </w14:solidFill>
          </w14:textFill>
        </w:rPr>
        <w:t>（二）</w:t>
      </w:r>
      <w:r>
        <w:rPr>
          <w:rFonts w:hint="eastAsia" w:ascii="仿宋_GB2312" w:hAnsi="仿宋_GB2312" w:cs="仿宋_GB2312"/>
          <w:color w:val="000000" w:themeColor="text1"/>
          <w:lang w:val="en"/>
          <w14:textFill>
            <w14:solidFill>
              <w14:schemeClr w14:val="tx1"/>
            </w14:solidFill>
          </w14:textFill>
        </w:rPr>
        <w:t>深入学习宣传、贯彻实施《广东省司法鉴定管理条例》，</w:t>
      </w:r>
      <w:r>
        <w:rPr>
          <w:rFonts w:hint="eastAsia" w:ascii="仿宋_GB2312"/>
          <w:color w:val="000000" w:themeColor="text1"/>
          <w14:textFill>
            <w14:solidFill>
              <w14:schemeClr w14:val="tx1"/>
            </w14:solidFill>
          </w14:textFill>
        </w:rPr>
        <w:t>开展《广东省司法鉴定管理条例》贯彻落实情况检查活动</w:t>
      </w:r>
      <w:r>
        <w:rPr>
          <w:rFonts w:hint="eastAsia" w:ascii="仿宋_GB2312" w:hAnsi="仿宋_GB2312" w:cs="仿宋_GB2312"/>
          <w:color w:val="000000" w:themeColor="text1"/>
          <w:lang w:val="en"/>
          <w14:textFill>
            <w14:solidFill>
              <w14:schemeClr w14:val="tx1"/>
            </w14:solidFill>
          </w14:textFill>
        </w:rPr>
        <w:t>。做好司法鉴定机构和鉴定人信息公示，及时更新变动情况。根据司法部和省司法厅的统一部署，做好新版司法鉴定证件的换发工作。以司法鉴定机构诚信等级评估工作为契机，强化司法鉴定管理，规范司法鉴定活动，促进司法鉴定机构依法诚信执业，推进本地司法鉴定机构健康有序发展。</w:t>
      </w:r>
    </w:p>
    <w:p>
      <w:pPr>
        <w:rPr>
          <w:rFonts w:hint="eastAsia" w:ascii="仿宋_GB2312" w:hAnsi="仿宋_GB2312" w:cs="仿宋_GB2312"/>
          <w:color w:val="000000" w:themeColor="text1"/>
          <w:lang w:val="en"/>
          <w14:textFill>
            <w14:solidFill>
              <w14:schemeClr w14:val="tx1"/>
            </w14:solidFill>
          </w14:textFill>
        </w:rPr>
      </w:pPr>
    </w:p>
    <w:p>
      <w:pPr>
        <w:rPr>
          <w:rFonts w:hint="eastAsia" w:ascii="仿宋_GB2312" w:hAnsi="仿宋_GB2312" w:cs="仿宋_GB2312"/>
          <w:color w:val="000000" w:themeColor="text1"/>
          <w:lang w:val="en"/>
          <w14:textFill>
            <w14:solidFill>
              <w14:schemeClr w14:val="tx1"/>
            </w14:solidFill>
          </w14:textFill>
        </w:rPr>
      </w:pPr>
    </w:p>
    <w:p>
      <w:pPr>
        <w:rPr>
          <w:rFonts w:hint="eastAsia" w:ascii="仿宋_GB2312" w:hAnsi="仿宋_GB2312" w:cs="仿宋_GB2312"/>
          <w:color w:val="000000" w:themeColor="text1"/>
          <w:lang w:val="en"/>
          <w14:textFill>
            <w14:solidFill>
              <w14:schemeClr w14:val="tx1"/>
            </w14:solidFill>
          </w14:textFill>
        </w:rPr>
      </w:pPr>
    </w:p>
    <w:p>
      <w:pPr>
        <w:wordWrap w:val="0"/>
        <w:jc w:val="right"/>
        <w:rPr>
          <w:rFonts w:hint="default" w:ascii="仿宋_GB2312" w:hAnsi="仿宋_GB2312" w:cs="仿宋_GB2312"/>
          <w:color w:val="000000" w:themeColor="text1"/>
          <w:lang w:val="en"/>
          <w14:textFill>
            <w14:solidFill>
              <w14:schemeClr w14:val="tx1"/>
            </w14:solidFill>
          </w14:textFill>
        </w:rPr>
      </w:pPr>
      <w:r>
        <w:rPr>
          <w:rFonts w:hint="default" w:ascii="仿宋_GB2312" w:hAnsi="仿宋_GB2312" w:cs="仿宋_GB2312"/>
          <w:color w:val="000000" w:themeColor="text1"/>
          <w:lang w:val="en"/>
          <w14:textFill>
            <w14:solidFill>
              <w14:schemeClr w14:val="tx1"/>
            </w14:solidFill>
          </w14:textFill>
        </w:rPr>
        <w:t xml:space="preserve">东莞市司法局 </w:t>
      </w:r>
    </w:p>
    <w:p>
      <w:pPr>
        <w:jc w:val="right"/>
        <w:rPr>
          <w:rFonts w:hint="default" w:ascii="仿宋_GB2312" w:hAnsi="仿宋_GB2312" w:cs="仿宋_GB2312"/>
          <w:color w:val="000000" w:themeColor="text1"/>
          <w:lang w:val="en"/>
          <w14:textFill>
            <w14:solidFill>
              <w14:schemeClr w14:val="tx1"/>
            </w14:solidFill>
          </w14:textFill>
        </w:rPr>
      </w:pPr>
      <w:r>
        <w:rPr>
          <w:rFonts w:hint="default" w:ascii="仿宋_GB2312" w:hAnsi="仿宋_GB2312" w:cs="仿宋_GB2312"/>
          <w:color w:val="000000" w:themeColor="text1"/>
          <w:lang w:val="en"/>
          <w14:textFill>
            <w14:solidFill>
              <w14:schemeClr w14:val="tx1"/>
            </w14:solidFill>
          </w14:textFill>
        </w:rPr>
        <w:t>2023年3月</w:t>
      </w:r>
      <w:r>
        <w:rPr>
          <w:rFonts w:hint="eastAsia" w:ascii="仿宋_GB2312" w:hAnsi="仿宋_GB2312" w:cs="仿宋_GB2312"/>
          <w:color w:val="000000" w:themeColor="text1"/>
          <w:lang w:val="en-US" w:eastAsia="zh-CN"/>
          <w14:textFill>
            <w14:solidFill>
              <w14:schemeClr w14:val="tx1"/>
            </w14:solidFill>
          </w14:textFill>
        </w:rPr>
        <w:t>10</w:t>
      </w:r>
      <w:r>
        <w:rPr>
          <w:rFonts w:hint="default" w:ascii="仿宋_GB2312" w:hAnsi="仿宋_GB2312" w:cs="仿宋_GB2312"/>
          <w:color w:val="000000" w:themeColor="text1"/>
          <w:lang w:val="en"/>
          <w14:textFill>
            <w14:solidFill>
              <w14:schemeClr w14:val="tx1"/>
            </w14:solidFill>
          </w14:textFill>
        </w:rPr>
        <w:t>日</w:t>
      </w:r>
    </w:p>
    <w:sectPr>
      <w:footerReference r:id="rId5" w:type="default"/>
      <w:pgSz w:w="11906" w:h="16838"/>
      <w:pgMar w:top="2211" w:right="1588" w:bottom="1871" w:left="1588" w:header="851" w:footer="1474" w:gutter="0"/>
      <w:pgNumType w:fmt="decimal"/>
      <w:cols w:space="720" w:num="1"/>
      <w:docGrid w:type="linesAndChars" w:linePitch="579" w:charSpace="3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8"/>
  <w:drawingGridVerticalSpacing w:val="579"/>
  <w:displayHorizont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ECD"/>
    <w:rsid w:val="00026C15"/>
    <w:rsid w:val="000435BF"/>
    <w:rsid w:val="000533ED"/>
    <w:rsid w:val="000926C6"/>
    <w:rsid w:val="00093E3B"/>
    <w:rsid w:val="000F02F0"/>
    <w:rsid w:val="000F4DBD"/>
    <w:rsid w:val="00126B83"/>
    <w:rsid w:val="00140C31"/>
    <w:rsid w:val="00142459"/>
    <w:rsid w:val="00146EAB"/>
    <w:rsid w:val="001635F7"/>
    <w:rsid w:val="00172561"/>
    <w:rsid w:val="00172A27"/>
    <w:rsid w:val="00180EEB"/>
    <w:rsid w:val="001878F5"/>
    <w:rsid w:val="001B2B0D"/>
    <w:rsid w:val="001B4AF4"/>
    <w:rsid w:val="001C135A"/>
    <w:rsid w:val="001E69D6"/>
    <w:rsid w:val="00240F45"/>
    <w:rsid w:val="00246EAE"/>
    <w:rsid w:val="0025445F"/>
    <w:rsid w:val="00276858"/>
    <w:rsid w:val="00280EE1"/>
    <w:rsid w:val="00291889"/>
    <w:rsid w:val="002A17A7"/>
    <w:rsid w:val="002A636E"/>
    <w:rsid w:val="002B31C1"/>
    <w:rsid w:val="002B4371"/>
    <w:rsid w:val="002F55A6"/>
    <w:rsid w:val="00306556"/>
    <w:rsid w:val="00332DD5"/>
    <w:rsid w:val="003465E3"/>
    <w:rsid w:val="00357E24"/>
    <w:rsid w:val="0036195F"/>
    <w:rsid w:val="00364EF6"/>
    <w:rsid w:val="00376ACF"/>
    <w:rsid w:val="003774D0"/>
    <w:rsid w:val="00377981"/>
    <w:rsid w:val="00377BE7"/>
    <w:rsid w:val="00383D8D"/>
    <w:rsid w:val="003844E8"/>
    <w:rsid w:val="003A3C15"/>
    <w:rsid w:val="003C5AE9"/>
    <w:rsid w:val="003D49DA"/>
    <w:rsid w:val="003E37AF"/>
    <w:rsid w:val="003F1FCA"/>
    <w:rsid w:val="003F212A"/>
    <w:rsid w:val="003F2CE0"/>
    <w:rsid w:val="00405FA0"/>
    <w:rsid w:val="00412675"/>
    <w:rsid w:val="00473903"/>
    <w:rsid w:val="00476D5F"/>
    <w:rsid w:val="00483CC3"/>
    <w:rsid w:val="0049360D"/>
    <w:rsid w:val="004A122A"/>
    <w:rsid w:val="004A371A"/>
    <w:rsid w:val="004C1665"/>
    <w:rsid w:val="00505A47"/>
    <w:rsid w:val="0050735B"/>
    <w:rsid w:val="00525B2A"/>
    <w:rsid w:val="00554F61"/>
    <w:rsid w:val="005611F4"/>
    <w:rsid w:val="0056375E"/>
    <w:rsid w:val="005744FB"/>
    <w:rsid w:val="00594DA3"/>
    <w:rsid w:val="005B5456"/>
    <w:rsid w:val="005C0AEE"/>
    <w:rsid w:val="0061651A"/>
    <w:rsid w:val="0063070F"/>
    <w:rsid w:val="006436D3"/>
    <w:rsid w:val="00647B67"/>
    <w:rsid w:val="006527AF"/>
    <w:rsid w:val="00670B3B"/>
    <w:rsid w:val="006875E8"/>
    <w:rsid w:val="00690094"/>
    <w:rsid w:val="0069096B"/>
    <w:rsid w:val="00697884"/>
    <w:rsid w:val="006A5476"/>
    <w:rsid w:val="006B2DD4"/>
    <w:rsid w:val="006E5031"/>
    <w:rsid w:val="006F707B"/>
    <w:rsid w:val="00747C7E"/>
    <w:rsid w:val="007565FB"/>
    <w:rsid w:val="0075671C"/>
    <w:rsid w:val="0076351D"/>
    <w:rsid w:val="00771812"/>
    <w:rsid w:val="007936ED"/>
    <w:rsid w:val="007C2CB6"/>
    <w:rsid w:val="007D6B24"/>
    <w:rsid w:val="007D6C9B"/>
    <w:rsid w:val="007E5449"/>
    <w:rsid w:val="007F2CF5"/>
    <w:rsid w:val="008635E7"/>
    <w:rsid w:val="0089578E"/>
    <w:rsid w:val="008958A9"/>
    <w:rsid w:val="008A66C6"/>
    <w:rsid w:val="008D7F70"/>
    <w:rsid w:val="009218D6"/>
    <w:rsid w:val="00927B92"/>
    <w:rsid w:val="00933FCF"/>
    <w:rsid w:val="009455DF"/>
    <w:rsid w:val="00953C03"/>
    <w:rsid w:val="00974707"/>
    <w:rsid w:val="009829CA"/>
    <w:rsid w:val="009922DF"/>
    <w:rsid w:val="009A6DFE"/>
    <w:rsid w:val="009B637C"/>
    <w:rsid w:val="009B77B8"/>
    <w:rsid w:val="009E0811"/>
    <w:rsid w:val="009E13BB"/>
    <w:rsid w:val="00A11414"/>
    <w:rsid w:val="00A37BEF"/>
    <w:rsid w:val="00A443D9"/>
    <w:rsid w:val="00A57C0E"/>
    <w:rsid w:val="00A6131C"/>
    <w:rsid w:val="00A62723"/>
    <w:rsid w:val="00A65D36"/>
    <w:rsid w:val="00A73109"/>
    <w:rsid w:val="00A744E6"/>
    <w:rsid w:val="00A81C6E"/>
    <w:rsid w:val="00A850B7"/>
    <w:rsid w:val="00A913BC"/>
    <w:rsid w:val="00A94FA6"/>
    <w:rsid w:val="00A95D7D"/>
    <w:rsid w:val="00AA484F"/>
    <w:rsid w:val="00AA7BF2"/>
    <w:rsid w:val="00AB062B"/>
    <w:rsid w:val="00AB2C55"/>
    <w:rsid w:val="00AC7058"/>
    <w:rsid w:val="00AC7108"/>
    <w:rsid w:val="00AD44FA"/>
    <w:rsid w:val="00AE2C54"/>
    <w:rsid w:val="00AE5BB5"/>
    <w:rsid w:val="00AE6370"/>
    <w:rsid w:val="00B073BA"/>
    <w:rsid w:val="00B1525F"/>
    <w:rsid w:val="00B24AFB"/>
    <w:rsid w:val="00B34AA7"/>
    <w:rsid w:val="00B41608"/>
    <w:rsid w:val="00B42A4E"/>
    <w:rsid w:val="00B42B07"/>
    <w:rsid w:val="00B531E2"/>
    <w:rsid w:val="00B7345D"/>
    <w:rsid w:val="00B8480B"/>
    <w:rsid w:val="00B9037D"/>
    <w:rsid w:val="00BA0F42"/>
    <w:rsid w:val="00BB38E0"/>
    <w:rsid w:val="00BB70D4"/>
    <w:rsid w:val="00BC3E49"/>
    <w:rsid w:val="00BD1A57"/>
    <w:rsid w:val="00BE66AB"/>
    <w:rsid w:val="00C0406A"/>
    <w:rsid w:val="00C118FF"/>
    <w:rsid w:val="00C12E8C"/>
    <w:rsid w:val="00C13165"/>
    <w:rsid w:val="00C27AFC"/>
    <w:rsid w:val="00C320F5"/>
    <w:rsid w:val="00C337AA"/>
    <w:rsid w:val="00C41976"/>
    <w:rsid w:val="00C47FBC"/>
    <w:rsid w:val="00C76813"/>
    <w:rsid w:val="00C911B9"/>
    <w:rsid w:val="00CA2B2B"/>
    <w:rsid w:val="00CB7425"/>
    <w:rsid w:val="00CB751B"/>
    <w:rsid w:val="00CC2164"/>
    <w:rsid w:val="00CE1790"/>
    <w:rsid w:val="00CF617A"/>
    <w:rsid w:val="00D04672"/>
    <w:rsid w:val="00D11C69"/>
    <w:rsid w:val="00D159F2"/>
    <w:rsid w:val="00D15F05"/>
    <w:rsid w:val="00D166D9"/>
    <w:rsid w:val="00D1783C"/>
    <w:rsid w:val="00D3352B"/>
    <w:rsid w:val="00D40D6C"/>
    <w:rsid w:val="00D51565"/>
    <w:rsid w:val="00D60443"/>
    <w:rsid w:val="00D6720C"/>
    <w:rsid w:val="00D72B18"/>
    <w:rsid w:val="00D824D3"/>
    <w:rsid w:val="00DA3E8B"/>
    <w:rsid w:val="00DC16CB"/>
    <w:rsid w:val="00DE4D19"/>
    <w:rsid w:val="00DF353F"/>
    <w:rsid w:val="00DF422D"/>
    <w:rsid w:val="00E27C96"/>
    <w:rsid w:val="00E32E81"/>
    <w:rsid w:val="00E359DE"/>
    <w:rsid w:val="00E413A1"/>
    <w:rsid w:val="00E54E24"/>
    <w:rsid w:val="00E56E3F"/>
    <w:rsid w:val="00EA0866"/>
    <w:rsid w:val="00EA4493"/>
    <w:rsid w:val="00EA7A0F"/>
    <w:rsid w:val="00EC29A5"/>
    <w:rsid w:val="00EE51F1"/>
    <w:rsid w:val="00EF4FD6"/>
    <w:rsid w:val="00F2009F"/>
    <w:rsid w:val="00F44501"/>
    <w:rsid w:val="00F464E9"/>
    <w:rsid w:val="00F63E1D"/>
    <w:rsid w:val="00F901EE"/>
    <w:rsid w:val="00F94997"/>
    <w:rsid w:val="00F961B1"/>
    <w:rsid w:val="00FA4141"/>
    <w:rsid w:val="00FB67C2"/>
    <w:rsid w:val="00FC7121"/>
    <w:rsid w:val="00FE5971"/>
    <w:rsid w:val="00FF69C8"/>
    <w:rsid w:val="01026AAA"/>
    <w:rsid w:val="010C0D76"/>
    <w:rsid w:val="013900C6"/>
    <w:rsid w:val="01CA74CD"/>
    <w:rsid w:val="020914E5"/>
    <w:rsid w:val="02492820"/>
    <w:rsid w:val="025D750E"/>
    <w:rsid w:val="02A13E05"/>
    <w:rsid w:val="02E816B7"/>
    <w:rsid w:val="033B5305"/>
    <w:rsid w:val="0396131D"/>
    <w:rsid w:val="03CD6D31"/>
    <w:rsid w:val="03F26FEF"/>
    <w:rsid w:val="041C3087"/>
    <w:rsid w:val="04350D70"/>
    <w:rsid w:val="04580F73"/>
    <w:rsid w:val="045B50F1"/>
    <w:rsid w:val="04BB4668"/>
    <w:rsid w:val="05D46252"/>
    <w:rsid w:val="06064DA0"/>
    <w:rsid w:val="06533E70"/>
    <w:rsid w:val="0658132C"/>
    <w:rsid w:val="06C80C86"/>
    <w:rsid w:val="07315296"/>
    <w:rsid w:val="07425F19"/>
    <w:rsid w:val="075F7B6D"/>
    <w:rsid w:val="07740479"/>
    <w:rsid w:val="07A52BB7"/>
    <w:rsid w:val="081C116B"/>
    <w:rsid w:val="087A3B8F"/>
    <w:rsid w:val="08A2152E"/>
    <w:rsid w:val="08BC72F9"/>
    <w:rsid w:val="090C56B1"/>
    <w:rsid w:val="09464412"/>
    <w:rsid w:val="09B65017"/>
    <w:rsid w:val="09BF1701"/>
    <w:rsid w:val="09D048A5"/>
    <w:rsid w:val="0A4B2F58"/>
    <w:rsid w:val="0A591085"/>
    <w:rsid w:val="0AA94EB8"/>
    <w:rsid w:val="0AC601C8"/>
    <w:rsid w:val="0AD90534"/>
    <w:rsid w:val="0B2E28D6"/>
    <w:rsid w:val="0B54028F"/>
    <w:rsid w:val="0B7234A8"/>
    <w:rsid w:val="0BBB7132"/>
    <w:rsid w:val="0C133161"/>
    <w:rsid w:val="0C224C3C"/>
    <w:rsid w:val="0C494F8F"/>
    <w:rsid w:val="0C6571FF"/>
    <w:rsid w:val="0CBA3F79"/>
    <w:rsid w:val="0CE65131"/>
    <w:rsid w:val="0CFF14C9"/>
    <w:rsid w:val="0D3D3E73"/>
    <w:rsid w:val="0D4C2FEB"/>
    <w:rsid w:val="0D6A5F71"/>
    <w:rsid w:val="0D6C1A18"/>
    <w:rsid w:val="0D912D85"/>
    <w:rsid w:val="0DD85FB2"/>
    <w:rsid w:val="0E27298A"/>
    <w:rsid w:val="0E407FE8"/>
    <w:rsid w:val="0E5C0A16"/>
    <w:rsid w:val="0EA43455"/>
    <w:rsid w:val="0F483E3B"/>
    <w:rsid w:val="0F486226"/>
    <w:rsid w:val="0F5078DB"/>
    <w:rsid w:val="0F6D7E97"/>
    <w:rsid w:val="0F767320"/>
    <w:rsid w:val="0F77098D"/>
    <w:rsid w:val="0FDB00BB"/>
    <w:rsid w:val="10086F8F"/>
    <w:rsid w:val="10624AF2"/>
    <w:rsid w:val="10A42CC0"/>
    <w:rsid w:val="10DD4B56"/>
    <w:rsid w:val="11081453"/>
    <w:rsid w:val="11090E91"/>
    <w:rsid w:val="11154D6B"/>
    <w:rsid w:val="111F3278"/>
    <w:rsid w:val="1134022A"/>
    <w:rsid w:val="11D320B0"/>
    <w:rsid w:val="12141E16"/>
    <w:rsid w:val="12243ECB"/>
    <w:rsid w:val="1263763F"/>
    <w:rsid w:val="1271452A"/>
    <w:rsid w:val="12BF1542"/>
    <w:rsid w:val="13397A63"/>
    <w:rsid w:val="13840562"/>
    <w:rsid w:val="13895D0A"/>
    <w:rsid w:val="139000E9"/>
    <w:rsid w:val="13B57AA3"/>
    <w:rsid w:val="13C0454C"/>
    <w:rsid w:val="13CB01A0"/>
    <w:rsid w:val="13E26C23"/>
    <w:rsid w:val="14C8041A"/>
    <w:rsid w:val="14EC1427"/>
    <w:rsid w:val="15324761"/>
    <w:rsid w:val="165E52A0"/>
    <w:rsid w:val="16A56E41"/>
    <w:rsid w:val="16D251CC"/>
    <w:rsid w:val="17044E98"/>
    <w:rsid w:val="1717FCEF"/>
    <w:rsid w:val="17222F08"/>
    <w:rsid w:val="17392D0A"/>
    <w:rsid w:val="173C03EE"/>
    <w:rsid w:val="177B1D98"/>
    <w:rsid w:val="17EC19C2"/>
    <w:rsid w:val="183A4ADE"/>
    <w:rsid w:val="184442C3"/>
    <w:rsid w:val="18F207E6"/>
    <w:rsid w:val="18F364E6"/>
    <w:rsid w:val="18F46CFF"/>
    <w:rsid w:val="191222C6"/>
    <w:rsid w:val="192538C2"/>
    <w:rsid w:val="19751DF2"/>
    <w:rsid w:val="198B758F"/>
    <w:rsid w:val="198F2189"/>
    <w:rsid w:val="19E60125"/>
    <w:rsid w:val="1A4B5B58"/>
    <w:rsid w:val="1A5B3E18"/>
    <w:rsid w:val="1A9B1B9B"/>
    <w:rsid w:val="1AC50BB5"/>
    <w:rsid w:val="1AC940C8"/>
    <w:rsid w:val="1AFA0FD4"/>
    <w:rsid w:val="1B015D9B"/>
    <w:rsid w:val="1B450CBF"/>
    <w:rsid w:val="1B5E4573"/>
    <w:rsid w:val="1B7E3635"/>
    <w:rsid w:val="1BFF9612"/>
    <w:rsid w:val="1C684F41"/>
    <w:rsid w:val="1C7E203C"/>
    <w:rsid w:val="1CD72813"/>
    <w:rsid w:val="1D1A7289"/>
    <w:rsid w:val="1D737B27"/>
    <w:rsid w:val="1E4A1319"/>
    <w:rsid w:val="1E9D2E3A"/>
    <w:rsid w:val="1EC149EE"/>
    <w:rsid w:val="1EE80F6C"/>
    <w:rsid w:val="1F2A4F98"/>
    <w:rsid w:val="1F3570DD"/>
    <w:rsid w:val="1F55797D"/>
    <w:rsid w:val="1F8028DA"/>
    <w:rsid w:val="1FA173B1"/>
    <w:rsid w:val="1FF31096"/>
    <w:rsid w:val="20110F35"/>
    <w:rsid w:val="20945238"/>
    <w:rsid w:val="21084C58"/>
    <w:rsid w:val="214B2EFE"/>
    <w:rsid w:val="215C7A13"/>
    <w:rsid w:val="217220EF"/>
    <w:rsid w:val="21FB56AA"/>
    <w:rsid w:val="223C4B7E"/>
    <w:rsid w:val="22450B66"/>
    <w:rsid w:val="22473CDB"/>
    <w:rsid w:val="225E2267"/>
    <w:rsid w:val="228E37C6"/>
    <w:rsid w:val="22FB68FD"/>
    <w:rsid w:val="231E7CB1"/>
    <w:rsid w:val="23520FAF"/>
    <w:rsid w:val="23A320E7"/>
    <w:rsid w:val="23BC2B85"/>
    <w:rsid w:val="23C82C08"/>
    <w:rsid w:val="24073C4B"/>
    <w:rsid w:val="24276FE5"/>
    <w:rsid w:val="24360C62"/>
    <w:rsid w:val="24FE6D97"/>
    <w:rsid w:val="251B3877"/>
    <w:rsid w:val="253A1A7E"/>
    <w:rsid w:val="25DF18DF"/>
    <w:rsid w:val="262B4CC6"/>
    <w:rsid w:val="263F7AAC"/>
    <w:rsid w:val="265B0E09"/>
    <w:rsid w:val="26933198"/>
    <w:rsid w:val="26D021DD"/>
    <w:rsid w:val="26D403FE"/>
    <w:rsid w:val="26F545BE"/>
    <w:rsid w:val="274620C7"/>
    <w:rsid w:val="277741E1"/>
    <w:rsid w:val="27A96DD8"/>
    <w:rsid w:val="27BF2D6A"/>
    <w:rsid w:val="281E5C0C"/>
    <w:rsid w:val="28551385"/>
    <w:rsid w:val="28D913D2"/>
    <w:rsid w:val="292E12B0"/>
    <w:rsid w:val="29355083"/>
    <w:rsid w:val="293B7E5D"/>
    <w:rsid w:val="29D52B1A"/>
    <w:rsid w:val="2A266DD9"/>
    <w:rsid w:val="2A5672EE"/>
    <w:rsid w:val="2A5F4060"/>
    <w:rsid w:val="2A9B6635"/>
    <w:rsid w:val="2B480A93"/>
    <w:rsid w:val="2BDC4350"/>
    <w:rsid w:val="2BF4025D"/>
    <w:rsid w:val="2CDD7E0B"/>
    <w:rsid w:val="2CEC3893"/>
    <w:rsid w:val="2CFA2F55"/>
    <w:rsid w:val="2D051053"/>
    <w:rsid w:val="2D156A73"/>
    <w:rsid w:val="2D2F5B06"/>
    <w:rsid w:val="2D6231B3"/>
    <w:rsid w:val="2D94524A"/>
    <w:rsid w:val="2DCF4DD4"/>
    <w:rsid w:val="2DD3705D"/>
    <w:rsid w:val="2E5966CF"/>
    <w:rsid w:val="2E5D40B0"/>
    <w:rsid w:val="2EBC3F76"/>
    <w:rsid w:val="2EDC620A"/>
    <w:rsid w:val="2EF5459A"/>
    <w:rsid w:val="2F0C51BE"/>
    <w:rsid w:val="2F10593E"/>
    <w:rsid w:val="308C1706"/>
    <w:rsid w:val="30CE33D5"/>
    <w:rsid w:val="30E445EC"/>
    <w:rsid w:val="31DC1163"/>
    <w:rsid w:val="324D06AB"/>
    <w:rsid w:val="32693023"/>
    <w:rsid w:val="329F3F73"/>
    <w:rsid w:val="32A1438E"/>
    <w:rsid w:val="32A21164"/>
    <w:rsid w:val="32F32D27"/>
    <w:rsid w:val="33566C46"/>
    <w:rsid w:val="33C13743"/>
    <w:rsid w:val="33CB3AC9"/>
    <w:rsid w:val="33CB3B99"/>
    <w:rsid w:val="344E4FC6"/>
    <w:rsid w:val="34531654"/>
    <w:rsid w:val="345D188F"/>
    <w:rsid w:val="34633791"/>
    <w:rsid w:val="347E6F60"/>
    <w:rsid w:val="34D41104"/>
    <w:rsid w:val="34DC2044"/>
    <w:rsid w:val="34E051DE"/>
    <w:rsid w:val="354E118A"/>
    <w:rsid w:val="35E41E03"/>
    <w:rsid w:val="368543CB"/>
    <w:rsid w:val="370043A0"/>
    <w:rsid w:val="371D7266"/>
    <w:rsid w:val="374425F9"/>
    <w:rsid w:val="37461DAE"/>
    <w:rsid w:val="378255D8"/>
    <w:rsid w:val="37BD669A"/>
    <w:rsid w:val="387A45CD"/>
    <w:rsid w:val="388F3A63"/>
    <w:rsid w:val="38C777B1"/>
    <w:rsid w:val="38D923A5"/>
    <w:rsid w:val="39BB2E87"/>
    <w:rsid w:val="3A310899"/>
    <w:rsid w:val="3A86431E"/>
    <w:rsid w:val="3AAC3BF5"/>
    <w:rsid w:val="3AB3524A"/>
    <w:rsid w:val="3ADD6F38"/>
    <w:rsid w:val="3AF062BE"/>
    <w:rsid w:val="3B875DBE"/>
    <w:rsid w:val="3B9D1F38"/>
    <w:rsid w:val="3BB210D4"/>
    <w:rsid w:val="3BB678CA"/>
    <w:rsid w:val="3BD05394"/>
    <w:rsid w:val="3BFC8C39"/>
    <w:rsid w:val="3C194713"/>
    <w:rsid w:val="3C48256A"/>
    <w:rsid w:val="3CA749E0"/>
    <w:rsid w:val="3E0A6FA8"/>
    <w:rsid w:val="3E0B5A5D"/>
    <w:rsid w:val="3E1E2531"/>
    <w:rsid w:val="3EA225BF"/>
    <w:rsid w:val="3EAA3F65"/>
    <w:rsid w:val="3EB80446"/>
    <w:rsid w:val="3EBB8A6E"/>
    <w:rsid w:val="3EE17608"/>
    <w:rsid w:val="3F5D81EA"/>
    <w:rsid w:val="3FA138EE"/>
    <w:rsid w:val="3FED3986"/>
    <w:rsid w:val="41986CB1"/>
    <w:rsid w:val="41DD38A5"/>
    <w:rsid w:val="42D82157"/>
    <w:rsid w:val="42E70C50"/>
    <w:rsid w:val="43803284"/>
    <w:rsid w:val="43D954DD"/>
    <w:rsid w:val="43EC4470"/>
    <w:rsid w:val="4464424A"/>
    <w:rsid w:val="44F64020"/>
    <w:rsid w:val="45551B77"/>
    <w:rsid w:val="455C0389"/>
    <w:rsid w:val="45B73FCA"/>
    <w:rsid w:val="45D65356"/>
    <w:rsid w:val="45EF00ED"/>
    <w:rsid w:val="462D181F"/>
    <w:rsid w:val="468C25DF"/>
    <w:rsid w:val="46F92922"/>
    <w:rsid w:val="470005F8"/>
    <w:rsid w:val="47594ECB"/>
    <w:rsid w:val="476A007F"/>
    <w:rsid w:val="47714CA8"/>
    <w:rsid w:val="47A360FF"/>
    <w:rsid w:val="47AD6087"/>
    <w:rsid w:val="47D74054"/>
    <w:rsid w:val="484569E6"/>
    <w:rsid w:val="4868302D"/>
    <w:rsid w:val="4874360C"/>
    <w:rsid w:val="49B55D33"/>
    <w:rsid w:val="4A756ABF"/>
    <w:rsid w:val="4A793923"/>
    <w:rsid w:val="4AD61A57"/>
    <w:rsid w:val="4ADD3CA0"/>
    <w:rsid w:val="4AF4623C"/>
    <w:rsid w:val="4AFB5039"/>
    <w:rsid w:val="4B887AB5"/>
    <w:rsid w:val="4BA23F22"/>
    <w:rsid w:val="4C2B7DC4"/>
    <w:rsid w:val="4C7C4E2D"/>
    <w:rsid w:val="4CF020F9"/>
    <w:rsid w:val="4D02036B"/>
    <w:rsid w:val="4D050FDE"/>
    <w:rsid w:val="4D454D9D"/>
    <w:rsid w:val="4DBA4F44"/>
    <w:rsid w:val="4DD43A4C"/>
    <w:rsid w:val="4E177F5F"/>
    <w:rsid w:val="4E44218F"/>
    <w:rsid w:val="4EB34A09"/>
    <w:rsid w:val="4F0128BE"/>
    <w:rsid w:val="4F9F3F6B"/>
    <w:rsid w:val="4FDE4B3B"/>
    <w:rsid w:val="4FF832F0"/>
    <w:rsid w:val="4FFC3852"/>
    <w:rsid w:val="501F4F45"/>
    <w:rsid w:val="50883EEE"/>
    <w:rsid w:val="50FB23F1"/>
    <w:rsid w:val="50FF2BC9"/>
    <w:rsid w:val="511561B0"/>
    <w:rsid w:val="517E4D3D"/>
    <w:rsid w:val="51BD1BD5"/>
    <w:rsid w:val="51E26A96"/>
    <w:rsid w:val="522C728D"/>
    <w:rsid w:val="530D57A7"/>
    <w:rsid w:val="53104AB8"/>
    <w:rsid w:val="53307E99"/>
    <w:rsid w:val="53A80AC7"/>
    <w:rsid w:val="53DA1FA0"/>
    <w:rsid w:val="5448020D"/>
    <w:rsid w:val="54712798"/>
    <w:rsid w:val="54CE54D2"/>
    <w:rsid w:val="54ED4FCE"/>
    <w:rsid w:val="550A0CFF"/>
    <w:rsid w:val="55177ABD"/>
    <w:rsid w:val="553E1547"/>
    <w:rsid w:val="559D7F50"/>
    <w:rsid w:val="55A74351"/>
    <w:rsid w:val="55BB110D"/>
    <w:rsid w:val="55E30D96"/>
    <w:rsid w:val="56043EA2"/>
    <w:rsid w:val="562A0784"/>
    <w:rsid w:val="564E035D"/>
    <w:rsid w:val="568E3076"/>
    <w:rsid w:val="568E4C78"/>
    <w:rsid w:val="573A7BA0"/>
    <w:rsid w:val="57447CEC"/>
    <w:rsid w:val="575D3B95"/>
    <w:rsid w:val="57972FA4"/>
    <w:rsid w:val="58186220"/>
    <w:rsid w:val="591D06BE"/>
    <w:rsid w:val="594B56AD"/>
    <w:rsid w:val="59657E25"/>
    <w:rsid w:val="596F5234"/>
    <w:rsid w:val="599F2C06"/>
    <w:rsid w:val="5A260070"/>
    <w:rsid w:val="5AED022E"/>
    <w:rsid w:val="5B342A75"/>
    <w:rsid w:val="5B873330"/>
    <w:rsid w:val="5BAA0FA1"/>
    <w:rsid w:val="5BE277E6"/>
    <w:rsid w:val="5C355C30"/>
    <w:rsid w:val="5C5F5C10"/>
    <w:rsid w:val="5C843751"/>
    <w:rsid w:val="5C931CB9"/>
    <w:rsid w:val="5CBD4B9D"/>
    <w:rsid w:val="5CC6768C"/>
    <w:rsid w:val="5DA975FD"/>
    <w:rsid w:val="5DBE113A"/>
    <w:rsid w:val="5DDB6497"/>
    <w:rsid w:val="5E3A399C"/>
    <w:rsid w:val="5E460737"/>
    <w:rsid w:val="5E4746EB"/>
    <w:rsid w:val="5E5D61CC"/>
    <w:rsid w:val="5EC8311C"/>
    <w:rsid w:val="5EDE3443"/>
    <w:rsid w:val="5EFA7D5C"/>
    <w:rsid w:val="5EFE27FC"/>
    <w:rsid w:val="5EFF8208"/>
    <w:rsid w:val="5F4B0E68"/>
    <w:rsid w:val="5F845585"/>
    <w:rsid w:val="5FDB89F3"/>
    <w:rsid w:val="5FFEC781"/>
    <w:rsid w:val="60032827"/>
    <w:rsid w:val="603E170D"/>
    <w:rsid w:val="605034C6"/>
    <w:rsid w:val="60603596"/>
    <w:rsid w:val="6087322E"/>
    <w:rsid w:val="608C362C"/>
    <w:rsid w:val="60E60B94"/>
    <w:rsid w:val="61377BCF"/>
    <w:rsid w:val="614D506E"/>
    <w:rsid w:val="614E7ED3"/>
    <w:rsid w:val="619E4AA7"/>
    <w:rsid w:val="61AF3CEB"/>
    <w:rsid w:val="61DD4F77"/>
    <w:rsid w:val="62867F21"/>
    <w:rsid w:val="62CD2D8B"/>
    <w:rsid w:val="62DD4BE5"/>
    <w:rsid w:val="62FD2305"/>
    <w:rsid w:val="636467BF"/>
    <w:rsid w:val="63795A61"/>
    <w:rsid w:val="63CCE2D0"/>
    <w:rsid w:val="640D5541"/>
    <w:rsid w:val="64104B0D"/>
    <w:rsid w:val="64110463"/>
    <w:rsid w:val="64635E24"/>
    <w:rsid w:val="648541F0"/>
    <w:rsid w:val="648C5148"/>
    <w:rsid w:val="649C3887"/>
    <w:rsid w:val="65687430"/>
    <w:rsid w:val="658C04A1"/>
    <w:rsid w:val="65DF0D6A"/>
    <w:rsid w:val="65E000B8"/>
    <w:rsid w:val="66163F1D"/>
    <w:rsid w:val="66337C3E"/>
    <w:rsid w:val="665D5FFE"/>
    <w:rsid w:val="66724FA3"/>
    <w:rsid w:val="66731B3C"/>
    <w:rsid w:val="66A622A6"/>
    <w:rsid w:val="67073683"/>
    <w:rsid w:val="670D46B6"/>
    <w:rsid w:val="674F465D"/>
    <w:rsid w:val="67DA0679"/>
    <w:rsid w:val="67FC6C08"/>
    <w:rsid w:val="67FD4917"/>
    <w:rsid w:val="681079B1"/>
    <w:rsid w:val="68267F14"/>
    <w:rsid w:val="68564421"/>
    <w:rsid w:val="68EF196C"/>
    <w:rsid w:val="68FD3A39"/>
    <w:rsid w:val="6972447B"/>
    <w:rsid w:val="6A255213"/>
    <w:rsid w:val="6A3D18CA"/>
    <w:rsid w:val="6AA378F3"/>
    <w:rsid w:val="6AB760D1"/>
    <w:rsid w:val="6ABC1CCA"/>
    <w:rsid w:val="6B0422D7"/>
    <w:rsid w:val="6B6E11CD"/>
    <w:rsid w:val="6B913C2F"/>
    <w:rsid w:val="6BAD77F7"/>
    <w:rsid w:val="6BD80854"/>
    <w:rsid w:val="6C1952BB"/>
    <w:rsid w:val="6C5772BE"/>
    <w:rsid w:val="6C7031B2"/>
    <w:rsid w:val="6CA35BAA"/>
    <w:rsid w:val="6D3B0F60"/>
    <w:rsid w:val="6D544149"/>
    <w:rsid w:val="6D5E12CC"/>
    <w:rsid w:val="6E676271"/>
    <w:rsid w:val="6E8423C1"/>
    <w:rsid w:val="6E97C68E"/>
    <w:rsid w:val="6EC32100"/>
    <w:rsid w:val="6EF7BB9C"/>
    <w:rsid w:val="6F123EFC"/>
    <w:rsid w:val="6F3F2E49"/>
    <w:rsid w:val="6F782F60"/>
    <w:rsid w:val="6F864F5E"/>
    <w:rsid w:val="6F9F7779"/>
    <w:rsid w:val="6FA8180F"/>
    <w:rsid w:val="6FE17277"/>
    <w:rsid w:val="6FE2687E"/>
    <w:rsid w:val="70187AED"/>
    <w:rsid w:val="708F5D00"/>
    <w:rsid w:val="70AF1F0B"/>
    <w:rsid w:val="71273DA8"/>
    <w:rsid w:val="713758AB"/>
    <w:rsid w:val="714651FA"/>
    <w:rsid w:val="714B34F6"/>
    <w:rsid w:val="71A95744"/>
    <w:rsid w:val="71B6251F"/>
    <w:rsid w:val="71CC2712"/>
    <w:rsid w:val="721E509A"/>
    <w:rsid w:val="72B854D7"/>
    <w:rsid w:val="72C43C0D"/>
    <w:rsid w:val="72C50EE7"/>
    <w:rsid w:val="72D14898"/>
    <w:rsid w:val="72E63006"/>
    <w:rsid w:val="72FB2465"/>
    <w:rsid w:val="73045228"/>
    <w:rsid w:val="73CA51B8"/>
    <w:rsid w:val="74033D1C"/>
    <w:rsid w:val="74133F0A"/>
    <w:rsid w:val="74B57974"/>
    <w:rsid w:val="74CA6975"/>
    <w:rsid w:val="74D962EF"/>
    <w:rsid w:val="753976B1"/>
    <w:rsid w:val="75406BCD"/>
    <w:rsid w:val="754B6E9D"/>
    <w:rsid w:val="76061613"/>
    <w:rsid w:val="762E031C"/>
    <w:rsid w:val="76516D7E"/>
    <w:rsid w:val="7661B305"/>
    <w:rsid w:val="768D791E"/>
    <w:rsid w:val="7767678C"/>
    <w:rsid w:val="77947C87"/>
    <w:rsid w:val="77995CE3"/>
    <w:rsid w:val="77CD72E9"/>
    <w:rsid w:val="77EF562F"/>
    <w:rsid w:val="78071968"/>
    <w:rsid w:val="78083084"/>
    <w:rsid w:val="78207659"/>
    <w:rsid w:val="7833559C"/>
    <w:rsid w:val="783B4EDB"/>
    <w:rsid w:val="78952EF4"/>
    <w:rsid w:val="78D0702F"/>
    <w:rsid w:val="78D34B39"/>
    <w:rsid w:val="78E039F2"/>
    <w:rsid w:val="79421335"/>
    <w:rsid w:val="794F3417"/>
    <w:rsid w:val="7981077C"/>
    <w:rsid w:val="79920496"/>
    <w:rsid w:val="79B3AEB8"/>
    <w:rsid w:val="7A3F7645"/>
    <w:rsid w:val="7A83096E"/>
    <w:rsid w:val="7AF41D2E"/>
    <w:rsid w:val="7BC82438"/>
    <w:rsid w:val="7BF91620"/>
    <w:rsid w:val="7C195047"/>
    <w:rsid w:val="7C387D67"/>
    <w:rsid w:val="7C976334"/>
    <w:rsid w:val="7C9A18B0"/>
    <w:rsid w:val="7D1E6869"/>
    <w:rsid w:val="7D6FCBD6"/>
    <w:rsid w:val="7DD37C9C"/>
    <w:rsid w:val="7DDA4E6D"/>
    <w:rsid w:val="7DFE052B"/>
    <w:rsid w:val="7E323B8C"/>
    <w:rsid w:val="7E3C7079"/>
    <w:rsid w:val="7E3E7809"/>
    <w:rsid w:val="7E4604FD"/>
    <w:rsid w:val="7E502606"/>
    <w:rsid w:val="7E931C9D"/>
    <w:rsid w:val="7EFB7500"/>
    <w:rsid w:val="7F10576C"/>
    <w:rsid w:val="7F355D80"/>
    <w:rsid w:val="7F7ED1E5"/>
    <w:rsid w:val="7FBE169D"/>
    <w:rsid w:val="7FBFAFD5"/>
    <w:rsid w:val="7FBFC04C"/>
    <w:rsid w:val="7FEC7098"/>
    <w:rsid w:val="7FFF2130"/>
    <w:rsid w:val="8D982698"/>
    <w:rsid w:val="8ED68B6A"/>
    <w:rsid w:val="97F7372F"/>
    <w:rsid w:val="9F9D7606"/>
    <w:rsid w:val="9FBD2B50"/>
    <w:rsid w:val="A4FC3CC1"/>
    <w:rsid w:val="B730A58E"/>
    <w:rsid w:val="BEFF53D1"/>
    <w:rsid w:val="BF9DF736"/>
    <w:rsid w:val="BFCFCD8C"/>
    <w:rsid w:val="BFDC1DDD"/>
    <w:rsid w:val="CFBFA0CC"/>
    <w:rsid w:val="D0C7066D"/>
    <w:rsid w:val="D4EBF222"/>
    <w:rsid w:val="D7CF8C20"/>
    <w:rsid w:val="DAEC5C2C"/>
    <w:rsid w:val="DFFF8CBE"/>
    <w:rsid w:val="EB7FF5E4"/>
    <w:rsid w:val="EEEFDC40"/>
    <w:rsid w:val="EF79C52A"/>
    <w:rsid w:val="EFE6FBC6"/>
    <w:rsid w:val="F7CA9DBC"/>
    <w:rsid w:val="F93877E9"/>
    <w:rsid w:val="F9EF3000"/>
    <w:rsid w:val="F9F91CE8"/>
    <w:rsid w:val="FB7F0C92"/>
    <w:rsid w:val="FBFB764F"/>
    <w:rsid w:val="FC3E3118"/>
    <w:rsid w:val="FC7B1F1C"/>
    <w:rsid w:val="FC7F7FB6"/>
    <w:rsid w:val="FCFD63A9"/>
    <w:rsid w:val="FEBFEEC5"/>
    <w:rsid w:val="FF7E59D4"/>
    <w:rsid w:val="FFB7F0E6"/>
    <w:rsid w:val="FFD5FC05"/>
    <w:rsid w:val="FFDF8E15"/>
    <w:rsid w:val="FFF7ECEA"/>
    <w:rsid w:val="FFFBF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link w:val="12"/>
    <w:qFormat/>
    <w:locked/>
    <w:uiPriority w:val="0"/>
    <w:pPr>
      <w:keepNext/>
      <w:keepLines/>
      <w:widowControl/>
      <w:numPr>
        <w:ilvl w:val="0"/>
        <w:numId w:val="1"/>
      </w:numPr>
      <w:adjustRightInd w:val="0"/>
      <w:spacing w:line="580" w:lineRule="atLeast"/>
      <w:jc w:val="center"/>
      <w:textAlignment w:val="baseline"/>
      <w:outlineLvl w:val="0"/>
    </w:pPr>
    <w:rPr>
      <w:rFonts w:ascii="Times New Roman" w:hAnsi="Times New Roman" w:eastAsia="华康简标题宋"/>
      <w:kern w:val="44"/>
      <w:sz w:val="36"/>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Balloon Text"/>
    <w:basedOn w:val="1"/>
    <w:link w:val="13"/>
    <w:unhideWhenUsed/>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99"/>
    <w:rPr>
      <w:rFonts w:ascii="Tahoma" w:hAnsi="Tahoma" w:cs="Tahoma"/>
      <w:sz w:val="24"/>
      <w:szCs w:val="24"/>
    </w:rPr>
  </w:style>
  <w:style w:type="character" w:styleId="11">
    <w:name w:val="Hyperlink"/>
    <w:unhideWhenUsed/>
    <w:qFormat/>
    <w:uiPriority w:val="0"/>
    <w:rPr>
      <w:color w:val="0000FF"/>
      <w:u w:val="single"/>
    </w:rPr>
  </w:style>
  <w:style w:type="character" w:customStyle="1" w:styleId="12">
    <w:name w:val="标题 1 Char"/>
    <w:basedOn w:val="9"/>
    <w:link w:val="2"/>
    <w:qFormat/>
    <w:uiPriority w:val="0"/>
    <w:rPr>
      <w:rFonts w:ascii="Times New Roman" w:hAnsi="Times New Roman" w:eastAsia="华康简标题宋"/>
      <w:kern w:val="44"/>
      <w:sz w:val="36"/>
    </w:rPr>
  </w:style>
  <w:style w:type="character" w:customStyle="1" w:styleId="13">
    <w:name w:val="批注框文本 Char"/>
    <w:link w:val="4"/>
    <w:semiHidden/>
    <w:qFormat/>
    <w:uiPriority w:val="0"/>
    <w:rPr>
      <w:rFonts w:eastAsia="仿宋_GB2312"/>
      <w:kern w:val="2"/>
      <w:sz w:val="18"/>
      <w:szCs w:val="18"/>
    </w:rPr>
  </w:style>
  <w:style w:type="character" w:customStyle="1" w:styleId="14">
    <w:name w:val="页脚 Char"/>
    <w:link w:val="5"/>
    <w:semiHidden/>
    <w:qFormat/>
    <w:uiPriority w:val="99"/>
    <w:rPr>
      <w:rFonts w:eastAsia="仿宋_GB2312"/>
      <w:sz w:val="18"/>
      <w:szCs w:val="18"/>
    </w:rPr>
  </w:style>
  <w:style w:type="paragraph" w:customStyle="1" w:styleId="15">
    <w:name w:val="Styl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
    <w:name w:val="默认段落字体 Para Char Char Char Char Char Char Char"/>
    <w:basedOn w:val="1"/>
    <w:qFormat/>
    <w:uiPriority w:val="99"/>
    <w:rPr>
      <w:rFonts w:ascii="Tahoma" w:hAnsi="Tahoma" w:cs="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8</Pages>
  <Words>1762</Words>
  <Characters>1815</Characters>
  <Lines>82</Lines>
  <Paragraphs>36</Paragraphs>
  <TotalTime>21</TotalTime>
  <ScaleCrop>false</ScaleCrop>
  <LinksUpToDate>false</LinksUpToDate>
  <CharactersWithSpaces>3541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2021-04-10T10:34:00Z</dcterms:created>
  <dc:creator>Administrator</dc:creator>
  <cp:lastModifiedBy>user</cp:lastModifiedBy>
  <cp:lastPrinted>2023-03-10T22:39:00Z</cp:lastPrinted>
  <dcterms:modified xsi:type="dcterms:W3CDTF">2023-07-24T09:54:34Z</dcterms:modified>
  <dc:title>粤机编办函〔2018〕号</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SaveFontToCloudKey">
    <vt:lpwstr>504296559_cloud</vt:lpwstr>
  </property>
</Properties>
</file>