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szCs w:val="32"/>
        </w:rPr>
      </w:pPr>
      <w:r>
        <w:rPr>
          <w:rFonts w:eastAsia="黑体"/>
          <w:sz w:val="32"/>
          <w:szCs w:val="32"/>
        </w:rPr>
        <w:t>附件5</w:t>
      </w:r>
    </w:p>
    <w:p>
      <w:pPr>
        <w:rPr>
          <w:rFonts w:eastAsia="黑体"/>
          <w:sz w:val="32"/>
          <w:szCs w:val="32"/>
        </w:rPr>
      </w:pPr>
    </w:p>
    <w:tbl>
      <w:tblPr>
        <w:tblStyle w:val="2"/>
        <w:tblpPr w:leftFromText="180" w:rightFromText="180" w:vertAnchor="text" w:horzAnchor="page" w:tblpX="1589" w:tblpY="54"/>
        <w:tblOverlap w:val="never"/>
        <w:tblW w:w="9023" w:type="dxa"/>
        <w:tblInd w:w="0" w:type="dxa"/>
        <w:tblLayout w:type="fixed"/>
        <w:tblCellMar>
          <w:top w:w="15" w:type="dxa"/>
          <w:left w:w="15" w:type="dxa"/>
          <w:bottom w:w="15" w:type="dxa"/>
          <w:right w:w="15" w:type="dxa"/>
        </w:tblCellMar>
      </w:tblPr>
      <w:tblGrid>
        <w:gridCol w:w="675"/>
        <w:gridCol w:w="1913"/>
        <w:gridCol w:w="885"/>
        <w:gridCol w:w="673"/>
        <w:gridCol w:w="999"/>
        <w:gridCol w:w="1011"/>
        <w:gridCol w:w="999"/>
        <w:gridCol w:w="1868"/>
      </w:tblGrid>
      <w:tr>
        <w:tblPrEx>
          <w:tblCellMar>
            <w:top w:w="15" w:type="dxa"/>
            <w:left w:w="15" w:type="dxa"/>
            <w:bottom w:w="15" w:type="dxa"/>
            <w:right w:w="15" w:type="dxa"/>
          </w:tblCellMar>
        </w:tblPrEx>
        <w:trPr>
          <w:trHeight w:val="454" w:hRule="atLeast"/>
        </w:trPr>
        <w:tc>
          <w:tcPr>
            <w:tcW w:w="9023" w:type="dxa"/>
            <w:gridSpan w:val="8"/>
            <w:noWrap w:val="0"/>
            <w:vAlign w:val="center"/>
          </w:tcPr>
          <w:p>
            <w:pPr>
              <w:jc w:val="center"/>
              <w:textAlignment w:val="center"/>
              <w:rPr>
                <w:rFonts w:eastAsia="方正小标宋简体"/>
                <w:sz w:val="40"/>
                <w:szCs w:val="40"/>
              </w:rPr>
            </w:pPr>
            <w:bookmarkStart w:id="0" w:name="_GoBack"/>
            <w:r>
              <w:rPr>
                <w:rFonts w:eastAsia="方正小标宋简体"/>
                <w:sz w:val="40"/>
                <w:szCs w:val="40"/>
              </w:rPr>
              <w:t xml:space="preserve">律师事务所 </w:t>
            </w:r>
            <w:r>
              <w:rPr>
                <w:rFonts w:eastAsia="方正小标宋简体"/>
                <w:sz w:val="40"/>
                <w:szCs w:val="40"/>
                <w:u w:val="single"/>
              </w:rPr>
              <w:t xml:space="preserve"> 202</w:t>
            </w:r>
            <w:r>
              <w:rPr>
                <w:rFonts w:hint="eastAsia" w:eastAsia="方正小标宋简体"/>
                <w:sz w:val="40"/>
                <w:szCs w:val="40"/>
                <w:u w:val="single"/>
                <w:lang w:val="en-US" w:eastAsia="zh-CN"/>
              </w:rPr>
              <w:t>3</w:t>
            </w:r>
            <w:r>
              <w:rPr>
                <w:rFonts w:eastAsia="方正小标宋简体"/>
                <w:sz w:val="40"/>
                <w:szCs w:val="40"/>
                <w:u w:val="single"/>
              </w:rPr>
              <w:t xml:space="preserve"> </w:t>
            </w:r>
            <w:r>
              <w:rPr>
                <w:rFonts w:eastAsia="方正小标宋简体"/>
                <w:sz w:val="40"/>
                <w:szCs w:val="40"/>
              </w:rPr>
              <w:t>年度执业工作报告表</w:t>
            </w:r>
            <w:bookmarkEnd w:id="0"/>
          </w:p>
        </w:tc>
      </w:tr>
      <w:tr>
        <w:tblPrEx>
          <w:tblCellMar>
            <w:top w:w="15" w:type="dxa"/>
            <w:left w:w="15" w:type="dxa"/>
            <w:bottom w:w="15" w:type="dxa"/>
            <w:right w:w="15" w:type="dxa"/>
          </w:tblCellMar>
        </w:tblPrEx>
        <w:trPr>
          <w:trHeight w:val="454" w:hRule="atLeast"/>
        </w:trPr>
        <w:tc>
          <w:tcPr>
            <w:tcW w:w="9023" w:type="dxa"/>
            <w:gridSpan w:val="8"/>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noWrap w:val="0"/>
            <w:vAlign w:val="center"/>
          </w:tcPr>
          <w:p>
            <w:pPr>
              <w:textAlignment w:val="center"/>
              <w:rPr>
                <w:rFonts w:eastAsia="仿宋_GB2312"/>
              </w:rPr>
            </w:pPr>
            <w:r>
              <w:rPr>
                <w:rFonts w:eastAsia="仿宋_GB2312"/>
              </w:rPr>
              <w:t>填报单位（盖章）：       负责人签名：               填报日期：    年  月  日</w:t>
            </w:r>
          </w:p>
        </w:tc>
      </w:tr>
      <w:tr>
        <w:tblPrEx>
          <w:tblCellMar>
            <w:top w:w="15" w:type="dxa"/>
            <w:left w:w="15" w:type="dxa"/>
            <w:bottom w:w="15" w:type="dxa"/>
            <w:right w:w="15" w:type="dxa"/>
          </w:tblCellMar>
        </w:tblPrEx>
        <w:trPr>
          <w:trHeight w:val="549"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b/>
              </w:rPr>
            </w:pPr>
            <w:r>
              <w:rPr>
                <w:rFonts w:eastAsia="仿宋_GB2312"/>
                <w:b/>
              </w:rPr>
              <w:t>一、队伍建设情况</w:t>
            </w: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right w:val="single" w:color="000000" w:sz="4" w:space="0"/>
            </w:tcBorders>
            <w:noWrap w:val="0"/>
            <w:vAlign w:val="center"/>
          </w:tcPr>
          <w:p>
            <w:pPr>
              <w:jc w:val="center"/>
              <w:textAlignment w:val="center"/>
              <w:rPr>
                <w:rFonts w:eastAsia="仿宋_GB2312"/>
              </w:rPr>
            </w:pPr>
            <w:r>
              <w:rPr>
                <w:rFonts w:eastAsia="仿宋_GB2312"/>
              </w:rPr>
              <w:t>人员统计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专职律师（名）</w:t>
            </w: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兼职律师（名）</w:t>
            </w: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90" w:hRule="atLeast"/>
        </w:trPr>
        <w:tc>
          <w:tcPr>
            <w:tcW w:w="2588" w:type="dxa"/>
            <w:gridSpan w:val="2"/>
            <w:vMerge w:val="continue"/>
            <w:tcBorders>
              <w:left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实习人员（名）</w:t>
            </w: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其他辅助人员（名）</w:t>
            </w: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507" w:hRule="atLeast"/>
        </w:trPr>
        <w:tc>
          <w:tcPr>
            <w:tcW w:w="2588" w:type="dxa"/>
            <w:gridSpan w:val="2"/>
            <w:vMerge w:val="continue"/>
            <w:tcBorders>
              <w:left w:val="single" w:color="000000" w:sz="4" w:space="0"/>
              <w:bottom w:val="single" w:color="000000" w:sz="4" w:space="0"/>
              <w:right w:val="single" w:color="000000" w:sz="4" w:space="0"/>
            </w:tcBorders>
            <w:noWrap w:val="0"/>
            <w:vAlign w:val="center"/>
          </w:tcPr>
          <w:p>
            <w:pPr>
              <w:jc w:val="center"/>
              <w:rPr>
                <w:rFonts w:eastAsia="仿宋_GB2312"/>
              </w:rPr>
            </w:pPr>
          </w:p>
        </w:tc>
        <w:tc>
          <w:tcPr>
            <w:tcW w:w="2557"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rPr>
            </w:pPr>
            <w:r>
              <w:rPr>
                <w:rFonts w:hint="eastAsia" w:eastAsia="仿宋_GB2312"/>
              </w:rPr>
              <w:t>符合办公条件的座位总数（个）</w:t>
            </w:r>
          </w:p>
        </w:tc>
        <w:tc>
          <w:tcPr>
            <w:tcW w:w="387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rPr>
              <w:t>思想政治建设情况（</w:t>
            </w:r>
            <w:r>
              <w:rPr>
                <w:rFonts w:hint="eastAsia" w:ascii="仿宋_GB2312" w:hAnsi="仿宋_GB2312" w:eastAsia="仿宋_GB2312" w:cs="仿宋_GB2312"/>
                <w:color w:val="0D0D0D"/>
              </w:rPr>
              <w:t>组织广大律师特别是党员律师</w:t>
            </w:r>
            <w:r>
              <w:rPr>
                <w:rFonts w:hint="eastAsia" w:ascii="仿宋_GB2312" w:hAnsi="仿宋_GB2312" w:eastAsia="仿宋_GB2312" w:cs="仿宋_GB2312"/>
                <w:color w:val="0D0D0D"/>
                <w:lang w:eastAsia="zh-CN"/>
              </w:rPr>
              <w:t>坚持以习近平新时代中国特色社会主义思想为指导，全面贯彻落实党的二十大精神，认真落实习近平总书记对律师工作的重要指示精神，扎实开展主题教育，积极响应和落实司法部党组提出的“五点希望”,加强律师所队伍的思想教育,确保律师工作正确的政治方向情况</w:t>
            </w:r>
            <w:r>
              <w:rPr>
                <w:rFonts w:hint="eastAsia" w:eastAsia="仿宋_GB2312"/>
              </w:rPr>
              <w:t>。</w:t>
            </w:r>
            <w:r>
              <w:rPr>
                <w:rFonts w:eastAsia="仿宋_GB2312"/>
              </w:rPr>
              <w:t>如次数、内容、参加人数）</w:t>
            </w:r>
          </w:p>
        </w:tc>
        <w:tc>
          <w:tcPr>
            <w:tcW w:w="6435" w:type="dxa"/>
            <w:gridSpan w:val="6"/>
            <w:vMerge w:val="restart"/>
            <w:tcBorders>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党建工作</w:t>
            </w:r>
            <w:r>
              <w:rPr>
                <w:rFonts w:hint="eastAsia" w:eastAsia="仿宋_GB2312"/>
              </w:rPr>
              <w:t>开展</w:t>
            </w:r>
            <w:r>
              <w:rPr>
                <w:rFonts w:eastAsia="仿宋_GB2312"/>
              </w:rPr>
              <w:t>情况（如党支部名称、党员人数、开展的主要活动</w:t>
            </w:r>
            <w:r>
              <w:rPr>
                <w:rFonts w:hint="eastAsia" w:eastAsia="仿宋_GB2312"/>
              </w:rPr>
              <w:t>、发展党员情况</w:t>
            </w:r>
            <w:r>
              <w:rPr>
                <w:rFonts w:eastAsia="仿宋_GB2312"/>
              </w:rPr>
              <w:t>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549"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b/>
              </w:rPr>
            </w:pPr>
            <w:r>
              <w:rPr>
                <w:rFonts w:eastAsia="仿宋_GB2312"/>
                <w:b/>
              </w:rPr>
              <w:t>二、业务活动开展情况</w:t>
            </w: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业务统计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诉讼案件（宗）</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非诉讼业务（宗）</w:t>
            </w: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顾问单位（家）</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739"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总收入（元）</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纳税总额（元）</w:t>
            </w: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仿宋_GB2312"/>
              </w:rPr>
            </w:pPr>
            <w:r>
              <w:rPr>
                <w:rFonts w:hint="eastAsia" w:eastAsia="仿宋_GB2312"/>
              </w:rPr>
              <w:t>涉外业务（宗）</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rPr>
              <w:t>业务类别及服务领域，提高服务质量情况</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left w:val="single" w:color="000000" w:sz="4" w:space="0"/>
              <w:right w:val="single" w:color="000000" w:sz="4" w:space="0"/>
            </w:tcBorders>
            <w:noWrap w:val="0"/>
            <w:vAlign w:val="center"/>
          </w:tcPr>
          <w:p>
            <w:pPr>
              <w:textAlignment w:val="center"/>
              <w:rPr>
                <w:rFonts w:eastAsia="仿宋_GB2312"/>
              </w:rPr>
            </w:pPr>
          </w:p>
          <w:p>
            <w:pPr>
              <w:textAlignment w:val="center"/>
              <w:rPr>
                <w:rFonts w:eastAsia="仿宋_GB2312"/>
              </w:rPr>
            </w:pPr>
          </w:p>
        </w:tc>
        <w:tc>
          <w:tcPr>
            <w:tcW w:w="6435" w:type="dxa"/>
            <w:gridSpan w:val="6"/>
            <w:vMerge w:val="continue"/>
            <w:tcBorders>
              <w:left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312"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317"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rPr>
              <w:t>律所和律师在司法行政机关或律师协会被投诉以及本所自行查处投诉的情况（如律师所和律师被投诉宗数、处理进展和结果等）</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lang w:eastAsia="zh-CN"/>
              </w:rPr>
              <w:t>执行办理</w:t>
            </w:r>
            <w:r>
              <w:rPr>
                <w:rFonts w:eastAsia="仿宋_GB2312"/>
              </w:rPr>
              <w:t>重大</w:t>
            </w:r>
            <w:r>
              <w:rPr>
                <w:rFonts w:hint="eastAsia" w:eastAsia="仿宋_GB2312"/>
                <w:lang w:eastAsia="zh-CN"/>
              </w:rPr>
              <w:t>敏感、</w:t>
            </w:r>
            <w:r>
              <w:rPr>
                <w:rFonts w:eastAsia="仿宋_GB2312"/>
              </w:rPr>
              <w:t>群体性案件</w:t>
            </w:r>
            <w:r>
              <w:rPr>
                <w:rFonts w:hint="eastAsia" w:eastAsia="仿宋_GB2312"/>
                <w:lang w:eastAsia="zh-CN"/>
              </w:rPr>
              <w:t>管理制度</w:t>
            </w:r>
            <w:r>
              <w:rPr>
                <w:rFonts w:eastAsia="仿宋_GB2312"/>
              </w:rPr>
              <w:t>情况（如案件数量、</w:t>
            </w:r>
            <w:r>
              <w:rPr>
                <w:rFonts w:hint="eastAsia" w:eastAsia="仿宋_GB2312"/>
              </w:rPr>
              <w:t>报告备案、</w:t>
            </w:r>
            <w:r>
              <w:rPr>
                <w:rFonts w:hint="eastAsia" w:eastAsia="仿宋_GB2312"/>
                <w:lang w:eastAsia="zh-CN"/>
              </w:rPr>
              <w:t>集体研究、检查监督情况</w:t>
            </w:r>
            <w:r>
              <w:rPr>
                <w:rFonts w:eastAsia="仿宋_GB2312"/>
              </w:rPr>
              <w:t>）</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履行法律援助义务和</w:t>
            </w:r>
            <w:r>
              <w:rPr>
                <w:rFonts w:hint="eastAsia" w:eastAsia="仿宋_GB2312"/>
              </w:rPr>
              <w:t>担任村（社区）法律顾问、</w:t>
            </w:r>
            <w:r>
              <w:rPr>
                <w:rFonts w:eastAsia="仿宋_GB2312"/>
              </w:rPr>
              <w:t>参加</w:t>
            </w:r>
            <w:r>
              <w:rPr>
                <w:rFonts w:hint="eastAsia" w:eastAsia="仿宋_GB2312"/>
              </w:rPr>
              <w:t>律师调解、化解和代理涉法涉诉信访等</w:t>
            </w:r>
            <w:r>
              <w:rPr>
                <w:rFonts w:eastAsia="仿宋_GB2312"/>
              </w:rPr>
              <w:t>其他社会公益活动情况（如数量统计和开展形式等）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因执业活动受奖惩情况（</w:t>
            </w:r>
            <w:r>
              <w:rPr>
                <w:rFonts w:hint="eastAsia" w:ascii="仿宋_GB2312" w:hAnsi="仿宋_GB2312" w:eastAsia="仿宋_GB2312" w:cs="仿宋_GB2312"/>
                <w:color w:val="0D0D0D"/>
              </w:rPr>
              <w:t>受到行政处罚、行业惩戒、奖励，</w:t>
            </w:r>
            <w:r>
              <w:rPr>
                <w:rFonts w:eastAsia="仿宋_GB2312"/>
              </w:rPr>
              <w:t>含有关部门以及当事人）</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p>
            <w:pPr>
              <w:jc w:val="center"/>
              <w:rPr>
                <w:rFonts w:eastAsia="仿宋_GB2312"/>
              </w:rPr>
            </w:pPr>
          </w:p>
          <w:p>
            <w:pPr>
              <w:jc w:val="center"/>
              <w:rPr>
                <w:rFonts w:eastAsia="仿宋_GB2312"/>
              </w:rPr>
            </w:pPr>
          </w:p>
          <w:p>
            <w:pPr>
              <w:jc w:val="center"/>
              <w:rPr>
                <w:rFonts w:eastAsia="仿宋_GB2312"/>
              </w:rPr>
            </w:pPr>
          </w:p>
          <w:p>
            <w:pPr>
              <w:jc w:val="center"/>
              <w:rPr>
                <w:rFonts w:eastAsia="仿宋_GB2312"/>
              </w:rPr>
            </w:pPr>
          </w:p>
        </w:tc>
      </w:tr>
      <w:tr>
        <w:tblPrEx>
          <w:tblCellMar>
            <w:top w:w="15" w:type="dxa"/>
            <w:left w:w="15" w:type="dxa"/>
            <w:bottom w:w="15" w:type="dxa"/>
            <w:right w:w="15" w:type="dxa"/>
          </w:tblCellMar>
        </w:tblPrEx>
        <w:trPr>
          <w:trHeight w:val="681"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b/>
              </w:rPr>
            </w:pPr>
            <w:r>
              <w:rPr>
                <w:rFonts w:eastAsia="仿宋_GB2312"/>
                <w:b/>
              </w:rPr>
              <w:t>三、内部管理情况</w:t>
            </w: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执业管理制度执行情况（如统一收结案，公章、公函使用登记，利益冲突审查</w:t>
            </w:r>
            <w:r>
              <w:rPr>
                <w:rFonts w:hint="eastAsia" w:eastAsia="仿宋_GB2312"/>
              </w:rPr>
              <w:t>、投诉查处</w:t>
            </w:r>
            <w:r>
              <w:rPr>
                <w:rFonts w:eastAsia="仿宋_GB2312"/>
              </w:rPr>
              <w:t>等方面）</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79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财务管理与分配制度执行情况（如统一收费、财务印章管理、社保缴纳和纳税等方面）</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91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194"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rPr>
              <w:t>人员管理情况（如建立所内人员“一人一档”，签订劳动合同、保障最低工资标准等）</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本所聘请外国和港澳台律师</w:t>
            </w:r>
            <w:r>
              <w:rPr>
                <w:rFonts w:hint="eastAsia" w:eastAsia="仿宋_GB2312"/>
              </w:rPr>
              <w:t>等情况（含聘请</w:t>
            </w:r>
            <w:r>
              <w:rPr>
                <w:rFonts w:eastAsia="仿宋_GB2312"/>
              </w:rPr>
              <w:t>担任法律顾问</w:t>
            </w:r>
            <w:r>
              <w:rPr>
                <w:rFonts w:hint="eastAsia" w:eastAsia="仿宋_GB2312"/>
              </w:rPr>
              <w:t>、在本所办公、远程个案协作等。</w:t>
            </w:r>
            <w:r>
              <w:rPr>
                <w:rFonts w:eastAsia="仿宋_GB2312"/>
              </w:rPr>
              <w:t>如有，请列明）</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业务档案管理情况（如新增档案宗数、归档率等）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99"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执业风险和事业发展等基金建立情况（如基金种类、使用等）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3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022"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设立分支机构情况（如名称、地址、负责人和业务开展等方面）</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634"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rPr>
              <w:t>依法办理变更事项情况</w:t>
            </w:r>
            <w:r>
              <w:rPr>
                <w:rFonts w:hint="eastAsia" w:eastAsia="仿宋_GB2312"/>
                <w:lang w:eastAsia="zh-CN"/>
              </w:rPr>
              <w:t>（</w:t>
            </w:r>
            <w:r>
              <w:rPr>
                <w:rFonts w:hint="eastAsia" w:eastAsia="仿宋_GB2312"/>
              </w:rPr>
              <w:t>律师所名称、章程、合伙协议、住所、</w:t>
            </w:r>
            <w:r>
              <w:rPr>
                <w:rFonts w:hint="eastAsia" w:eastAsia="仿宋_GB2312"/>
                <w:lang w:eastAsia="zh-CN"/>
              </w:rPr>
              <w:t>组织形式、</w:t>
            </w:r>
            <w:r>
              <w:rPr>
                <w:rFonts w:hint="eastAsia" w:eastAsia="仿宋_GB2312"/>
              </w:rPr>
              <w:t>负责人、合伙人</w:t>
            </w:r>
            <w:r>
              <w:rPr>
                <w:rFonts w:hint="eastAsia" w:ascii="仿宋_GB2312" w:hAnsi="仿宋_GB2312" w:eastAsia="仿宋_GB2312" w:cs="仿宋_GB2312"/>
                <w:color w:val="0D0D0D"/>
              </w:rPr>
              <w:t>、资产数额、分所派驻律师</w:t>
            </w:r>
            <w:r>
              <w:rPr>
                <w:rFonts w:hint="eastAsia" w:eastAsia="仿宋_GB2312"/>
              </w:rPr>
              <w:t>等事项变更是否</w:t>
            </w:r>
            <w:r>
              <w:rPr>
                <w:rFonts w:hint="eastAsia" w:eastAsia="仿宋_GB2312"/>
                <w:lang w:eastAsia="zh-CN"/>
              </w:rPr>
              <w:t>按规定办理审批或备案手续</w:t>
            </w:r>
            <w:r>
              <w:rPr>
                <w:rFonts w:hint="eastAsia" w:eastAsia="仿宋_GB2312"/>
              </w:rPr>
              <w:t>）</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634"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lang w:eastAsia="zh-CN"/>
              </w:rPr>
              <w:t>律师所章程、合伙协议制定运作情况（章程、合伙协议中规定的律师所解散的事由、程序以及清算办法、合伙人入退伙及除名的条件和程序、合伙人之间争议的解决方法和程序，违反合伙协议承担的责任等条款是否清晰无异议）</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rPr>
            </w:pPr>
            <w:r>
              <w:rPr>
                <w:rFonts w:hint="eastAsia" w:eastAsia="仿宋_GB2312"/>
                <w:b/>
              </w:rPr>
              <w:t>四</w:t>
            </w:r>
            <w:r>
              <w:rPr>
                <w:rFonts w:eastAsia="仿宋_GB2312"/>
                <w:b/>
              </w:rPr>
              <w:t>、</w:t>
            </w:r>
            <w:r>
              <w:rPr>
                <w:rFonts w:hint="eastAsia" w:eastAsia="仿宋_GB2312"/>
                <w:b/>
              </w:rPr>
              <w:t>律师、律师事务所保持法定条件情况</w:t>
            </w:r>
          </w:p>
        </w:tc>
      </w:tr>
      <w:tr>
        <w:tblPrEx>
          <w:tblCellMar>
            <w:top w:w="15" w:type="dxa"/>
            <w:left w:w="15" w:type="dxa"/>
            <w:bottom w:w="15" w:type="dxa"/>
            <w:right w:w="15" w:type="dxa"/>
          </w:tblCellMar>
        </w:tblPrEx>
        <w:trPr>
          <w:trHeight w:val="2741"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color w:val="FF0000"/>
              </w:rPr>
            </w:pPr>
            <w:r>
              <w:rPr>
                <w:rFonts w:eastAsia="仿宋_GB2312"/>
              </w:rPr>
              <w:t>律师</w:t>
            </w:r>
            <w:r>
              <w:rPr>
                <w:rFonts w:hint="eastAsia" w:eastAsia="仿宋_GB2312"/>
              </w:rPr>
              <w:t>保持法定执业条件</w:t>
            </w:r>
            <w:r>
              <w:rPr>
                <w:rFonts w:hint="eastAsia" w:eastAsia="仿宋_GB2312"/>
                <w:lang w:eastAsia="zh-CN"/>
              </w:rPr>
              <w:t>情况</w:t>
            </w:r>
            <w:r>
              <w:rPr>
                <w:rFonts w:hint="eastAsia" w:eastAsia="仿宋_GB2312"/>
              </w:rPr>
              <w:t>（</w:t>
            </w:r>
            <w:r>
              <w:rPr>
                <w:rFonts w:hint="eastAsia" w:ascii="仿宋_GB2312" w:hAnsi="仿宋_GB2312" w:eastAsia="仿宋_GB2312" w:cs="仿宋_GB2312"/>
                <w:color w:val="0D0D0D"/>
              </w:rPr>
              <w:t>是否存在丧失中国国籍情况;</w:t>
            </w:r>
            <w:r>
              <w:rPr>
                <w:rFonts w:hint="eastAsia" w:ascii="仿宋_GB2312" w:hAnsi="仿宋_GB2312" w:eastAsia="仿宋_GB2312" w:cs="仿宋_GB2312"/>
                <w:color w:val="0D0D0D"/>
                <w:lang w:eastAsia="zh-CN"/>
              </w:rPr>
              <w:t>是否存在已获得港澳台永久居民身份但未变更为港澳台居民律师情况；</w:t>
            </w:r>
            <w:r>
              <w:rPr>
                <w:rFonts w:hint="eastAsia" w:ascii="仿宋_GB2312" w:hAnsi="仿宋_GB2312" w:eastAsia="仿宋_GB2312" w:cs="仿宋_GB2312"/>
                <w:color w:val="0D0D0D"/>
              </w:rPr>
              <w:t>是否存在</w:t>
            </w:r>
            <w:r>
              <w:rPr>
                <w:rFonts w:hint="eastAsia" w:ascii="仿宋_GB2312" w:hAnsi="仿宋_GB2312" w:eastAsia="仿宋_GB2312" w:cs="仿宋_GB2312"/>
                <w:color w:val="0D0D0D"/>
                <w:lang w:eastAsia="zh-CN"/>
              </w:rPr>
              <w:t>法定</w:t>
            </w:r>
            <w:r>
              <w:rPr>
                <w:rFonts w:hint="eastAsia" w:ascii="仿宋_GB2312" w:hAnsi="仿宋_GB2312" w:eastAsia="仿宋_GB2312" w:cs="仿宋_GB2312"/>
                <w:color w:val="0D0D0D"/>
              </w:rPr>
              <w:t>不予颁发律师执业证书情况;专职律师是否存在违规兼职的情况</w:t>
            </w:r>
            <w:r>
              <w:rPr>
                <w:rFonts w:hint="eastAsia" w:eastAsia="仿宋_GB2312"/>
              </w:rPr>
              <w:t>；兼职律师是否保持兼职执业条件。</w:t>
            </w:r>
            <w:r>
              <w:rPr>
                <w:rFonts w:eastAsia="仿宋_GB2312"/>
              </w:rPr>
              <w:t>如有，请列明）</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rPr>
              <w:t>律师所保持法定设立条件</w:t>
            </w:r>
            <w:r>
              <w:rPr>
                <w:rFonts w:hint="eastAsia" w:eastAsia="仿宋_GB2312"/>
                <w:lang w:eastAsia="zh-CN"/>
              </w:rPr>
              <w:t>情况</w:t>
            </w:r>
            <w:r>
              <w:rPr>
                <w:rFonts w:hint="eastAsia" w:eastAsia="仿宋_GB2312"/>
              </w:rPr>
              <w:t>（</w:t>
            </w:r>
            <w:r>
              <w:rPr>
                <w:rFonts w:hint="eastAsia" w:eastAsia="仿宋_GB2312"/>
                <w:lang w:eastAsia="zh-CN"/>
              </w:rPr>
              <w:t>是否保持《律师法》、《律师事务所管理办法》、《广东省司法厅关于香港特别行政区和澳门特别行政区律师事务所与内地律师事务所在广东省实行合伙联营试行办法》规定的设立条件，包括合伙人、个人所设立人是否因受到行政处罚而丧失资格条件；普通合伙所的合伙人是否达到三名以上；分所是否有三名以上派驻律师；设立分所的律师所是否有二十名以上执业律师等情况</w:t>
            </w:r>
            <w:r>
              <w:rPr>
                <w:rFonts w:hint="eastAsia" w:eastAsia="仿宋_GB2312"/>
              </w:rPr>
              <w:t>）</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798"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r>
              <w:rPr>
                <w:rFonts w:hint="eastAsia" w:ascii="仿宋_GB2312" w:hAnsi="仿宋_GB2312" w:eastAsia="仿宋_GB2312" w:cs="仿宋_GB2312"/>
                <w:b/>
                <w:bCs/>
                <w:color w:val="0D0D0D"/>
              </w:rPr>
              <w:t>五、律师事务所按位定人制度落实情况</w:t>
            </w:r>
          </w:p>
        </w:tc>
      </w:tr>
      <w:tr>
        <w:tblPrEx>
          <w:tblCellMar>
            <w:top w:w="15" w:type="dxa"/>
            <w:left w:w="15" w:type="dxa"/>
            <w:bottom w:w="15" w:type="dxa"/>
            <w:right w:w="15" w:type="dxa"/>
          </w:tblCellMar>
        </w:tblPrEx>
        <w:trPr>
          <w:trHeight w:val="2901" w:hRule="atLeast"/>
        </w:trPr>
        <w:tc>
          <w:tcPr>
            <w:tcW w:w="2588" w:type="dxa"/>
            <w:gridSpan w:val="2"/>
            <w:tcBorders>
              <w:top w:val="single" w:color="000000" w:sz="4" w:space="0"/>
              <w:left w:val="single" w:color="auto" w:sz="4" w:space="0"/>
              <w:bottom w:val="single" w:color="auto" w:sz="4" w:space="0"/>
              <w:right w:val="single" w:color="000000" w:sz="4" w:space="0"/>
            </w:tcBorders>
            <w:noWrap w:val="0"/>
            <w:vAlign w:val="center"/>
          </w:tcPr>
          <w:p>
            <w:pPr>
              <w:textAlignment w:val="center"/>
              <w:rPr>
                <w:rFonts w:hint="eastAsia" w:eastAsia="仿宋_GB2312"/>
              </w:rPr>
            </w:pPr>
            <w:r>
              <w:rPr>
                <w:rFonts w:hint="eastAsia" w:eastAsia="仿宋_GB2312"/>
              </w:rPr>
              <w:t>律师事务所办公场所建设应当满足律师执业所需最基本的要求，其氛围和格调应展现出积极健康向上的风貌（独立会议室、财务室、档案室，全所人员每人有独立的办公桌椅和必要的办公电脑）</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b/>
              </w:rPr>
            </w:pPr>
            <w:r>
              <w:rPr>
                <w:rFonts w:eastAsia="仿宋_GB2312"/>
                <w:b/>
                <w:lang w:val="en"/>
              </w:rPr>
              <w:t xml:space="preserve"> </w:t>
            </w:r>
            <w:r>
              <w:rPr>
                <w:rFonts w:hint="eastAsia" w:eastAsia="仿宋_GB2312"/>
                <w:b/>
                <w:lang w:val="en"/>
              </w:rPr>
              <w:t>六</w:t>
            </w:r>
            <w:r>
              <w:rPr>
                <w:rFonts w:eastAsia="仿宋_GB2312"/>
                <w:b/>
              </w:rPr>
              <w:t>、律师考核情况</w:t>
            </w: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auto" w:sz="4" w:space="0"/>
            </w:tcBorders>
            <w:noWrap w:val="0"/>
            <w:vAlign w:val="center"/>
          </w:tcPr>
          <w:p>
            <w:pPr>
              <w:jc w:val="center"/>
              <w:textAlignment w:val="center"/>
              <w:rPr>
                <w:rFonts w:eastAsia="仿宋_GB2312"/>
              </w:rPr>
            </w:pPr>
            <w:r>
              <w:rPr>
                <w:rFonts w:eastAsia="仿宋_GB2312"/>
              </w:rPr>
              <w:t>序号</w:t>
            </w:r>
          </w:p>
        </w:tc>
        <w:tc>
          <w:tcPr>
            <w:tcW w:w="1913" w:type="dxa"/>
            <w:tcBorders>
              <w:top w:val="single" w:color="000000" w:sz="4" w:space="0"/>
              <w:left w:val="single" w:color="auto"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姓名</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性别</w:t>
            </w: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执业证号</w:t>
            </w: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考核结果</w:t>
            </w: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备注</w:t>
            </w: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1</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eastAsia="仿宋_GB2312"/>
                <w:lang w:val="en-US" w:eastAsia="zh-CN"/>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2</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3</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7</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8</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9</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eastAsia="仿宋_GB2312"/>
                <w:lang w:val="en-US" w:eastAsia="zh-CN"/>
              </w:rPr>
            </w:pPr>
            <w:r>
              <w:rPr>
                <w:rFonts w:hint="eastAsia" w:eastAsia="仿宋_GB2312"/>
                <w:lang w:val="en-US" w:eastAsia="zh-CN"/>
              </w:rPr>
              <w:t>10</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eastAsia="仿宋_GB2312"/>
                <w:lang w:val="en-US" w:eastAsia="zh-CN"/>
              </w:rPr>
            </w:pPr>
            <w:r>
              <w:rPr>
                <w:rFonts w:hint="eastAsia" w:eastAsia="仿宋_GB2312"/>
                <w:lang w:val="en-US" w:eastAsia="zh-CN"/>
              </w:rPr>
              <w:t>...</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bl>
    <w:p>
      <w:pPr>
        <w:jc w:val="left"/>
        <w:textAlignment w:val="center"/>
        <w:rPr>
          <w:rFonts w:eastAsia="方正小标宋简体"/>
          <w:sz w:val="40"/>
          <w:szCs w:val="40"/>
        </w:rPr>
      </w:pPr>
      <w:r>
        <w:rPr>
          <w:rFonts w:eastAsia="仿宋_GB2312"/>
          <w:color w:val="0D0D0D"/>
        </w:rPr>
        <w:t>注：A4纸双面打印，不够填写，可附页。</w:t>
      </w: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FFF296"/>
    <w:rsid w:val="F7FFF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2024-03-29T09:19:00Z</dcterms:created>
  <dc:creator>guest</dc:creator>
  <cp:lastModifiedBy>guest</cp:lastModifiedBy>
  <dcterms:modified xsi:type="dcterms:W3CDTF">2024-03-29T09:22:12Z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