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Layout w:type="fixed"/>
        <w:tblCellMar>
          <w:top w:w="0" w:type="dxa"/>
          <w:left w:w="108" w:type="dxa"/>
          <w:bottom w:w="0" w:type="dxa"/>
          <w:right w:w="108" w:type="dxa"/>
        </w:tblCellMar>
      </w:tblPr>
      <w:tblGrid>
        <w:gridCol w:w="6912"/>
        <w:gridCol w:w="2148"/>
      </w:tblGrid>
      <w:tr>
        <w:tblPrEx>
          <w:tblCellMar>
            <w:top w:w="0" w:type="dxa"/>
            <w:left w:w="108" w:type="dxa"/>
            <w:bottom w:w="0" w:type="dxa"/>
            <w:right w:w="108" w:type="dxa"/>
          </w:tblCellMar>
        </w:tblPrEx>
        <w:trPr>
          <w:hidden/>
        </w:trPr>
        <w:tc>
          <w:tcPr>
            <w:tcW w:w="6912" w:type="dxa"/>
            <w:noWrap w:val="0"/>
            <w:vAlign w:val="bottom"/>
          </w:tcPr>
          <w:p>
            <w:pPr>
              <w:rPr>
                <w:rFonts w:eastAsia="黑体"/>
                <w:vanish/>
                <w:kern w:val="0"/>
                <w:sz w:val="31"/>
              </w:rPr>
            </w:pPr>
          </w:p>
        </w:tc>
        <w:tc>
          <w:tcPr>
            <w:tcW w:w="2148" w:type="dxa"/>
            <w:noWrap w:val="0"/>
            <w:vAlign w:val="center"/>
          </w:tcPr>
          <w:p>
            <w:pPr>
              <w:adjustRightInd w:val="0"/>
              <w:snapToGrid w:val="0"/>
              <w:jc w:val="right"/>
              <w:rPr>
                <w:rFonts w:eastAsia="黑体"/>
                <w:vanish/>
                <w:kern w:val="0"/>
                <w:sz w:val="31"/>
              </w:rPr>
            </w:pPr>
          </w:p>
        </w:tc>
      </w:tr>
      <w:tr>
        <w:tblPrEx>
          <w:tblCellMar>
            <w:top w:w="0" w:type="dxa"/>
            <w:left w:w="108" w:type="dxa"/>
            <w:bottom w:w="0" w:type="dxa"/>
            <w:right w:w="108" w:type="dxa"/>
          </w:tblCellMar>
        </w:tblPrEx>
        <w:trPr>
          <w:cantSplit/>
          <w:trHeight w:val="870" w:hRule="atLeast"/>
          <w:hidden/>
        </w:trPr>
        <w:tc>
          <w:tcPr>
            <w:tcW w:w="6912" w:type="dxa"/>
            <w:noWrap w:val="0"/>
            <w:vAlign w:val="center"/>
          </w:tcPr>
          <w:p>
            <w:pPr>
              <w:pStyle w:val="3"/>
              <w:adjustRightInd w:val="0"/>
              <w:snapToGrid w:val="0"/>
              <w:ind w:left="640" w:leftChars="200"/>
              <w:rPr>
                <w:rFonts w:eastAsia="黑体"/>
                <w:bCs w:val="0"/>
                <w:vanish/>
                <w:szCs w:val="112"/>
              </w:rPr>
            </w:pPr>
          </w:p>
        </w:tc>
        <w:tc>
          <w:tcPr>
            <w:tcW w:w="2148" w:type="dxa"/>
            <w:noWrap w:val="0"/>
            <w:vAlign w:val="center"/>
          </w:tcPr>
          <w:p>
            <w:pPr>
              <w:pStyle w:val="3"/>
              <w:rPr>
                <w:rFonts w:eastAsia="黑体"/>
                <w:bCs w:val="0"/>
                <w:vanish/>
                <w:sz w:val="120"/>
                <w:szCs w:val="120"/>
              </w:rPr>
            </w:pPr>
          </w:p>
        </w:tc>
      </w:tr>
      <w:tr>
        <w:tblPrEx>
          <w:tblCellMar>
            <w:top w:w="0" w:type="dxa"/>
            <w:left w:w="108" w:type="dxa"/>
            <w:bottom w:w="0" w:type="dxa"/>
            <w:right w:w="108" w:type="dxa"/>
          </w:tblCellMar>
        </w:tblPrEx>
        <w:trPr>
          <w:cantSplit/>
          <w:hidden/>
        </w:trPr>
        <w:tc>
          <w:tcPr>
            <w:tcW w:w="9060" w:type="dxa"/>
            <w:gridSpan w:val="2"/>
            <w:tcBorders>
              <w:bottom w:val="single" w:color="FF0000" w:sz="18" w:space="0"/>
            </w:tcBorders>
            <w:noWrap w:val="0"/>
            <w:vAlign w:val="top"/>
          </w:tcPr>
          <w:p>
            <w:pPr>
              <w:spacing w:after="120"/>
              <w:jc w:val="center"/>
              <w:rPr>
                <w:rFonts w:eastAsia="黑体"/>
                <w:vanish/>
                <w:kern w:val="0"/>
                <w:sz w:val="31"/>
              </w:rPr>
            </w:pPr>
          </w:p>
        </w:tc>
      </w:tr>
    </w:tbl>
    <w:p>
      <w:pPr>
        <w:pStyle w:val="27"/>
        <w:ind w:firstLine="0" w:firstLineChars="0"/>
        <w:jc w:val="left"/>
      </w:pPr>
      <w:r>
        <w:t>附件1</w:t>
      </w:r>
    </w:p>
    <w:p>
      <w:pPr>
        <w:pStyle w:val="28"/>
      </w:pPr>
      <w:r>
        <w:t>20</w:t>
      </w:r>
      <w:r>
        <w:rPr>
          <w:rFonts w:hint="eastAsia"/>
        </w:rPr>
        <w:t>2</w:t>
      </w:r>
      <w:r>
        <w:rPr>
          <w:rFonts w:hint="eastAsia"/>
          <w:lang w:val="en-US" w:eastAsia="zh-CN"/>
        </w:rPr>
        <w:t>3</w:t>
      </w:r>
      <w:r>
        <w:t>年度律师事务所年度检查考核实地检查安排表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875"/>
        <w:gridCol w:w="3548"/>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32"/>
              </w:rPr>
            </w:pPr>
            <w:r>
              <w:rPr>
                <w:rFonts w:eastAsia="黑体"/>
                <w:szCs w:val="32"/>
              </w:rPr>
              <w:t>检查组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szCs w:val="32"/>
              </w:rPr>
            </w:pPr>
            <w:r>
              <w:rPr>
                <w:rFonts w:eastAsia="黑体"/>
                <w:szCs w:val="32"/>
              </w:rPr>
              <w:t>检查组成员</w:t>
            </w:r>
            <w:r>
              <w:rPr>
                <w:rFonts w:hint="eastAsia" w:eastAsia="黑体"/>
                <w:szCs w:val="32"/>
              </w:rPr>
              <w:t>（以实际检查人员为准）</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szCs w:val="32"/>
              </w:rPr>
            </w:pPr>
            <w:r>
              <w:rPr>
                <w:rFonts w:eastAsia="黑体"/>
                <w:szCs w:val="32"/>
              </w:rPr>
              <w:t>参与调研的</w:t>
            </w:r>
            <w:r>
              <w:rPr>
                <w:rFonts w:hint="eastAsia" w:eastAsia="黑体"/>
                <w:szCs w:val="32"/>
              </w:rPr>
              <w:t>会长</w:t>
            </w:r>
            <w:r>
              <w:rPr>
                <w:rFonts w:eastAsia="黑体"/>
                <w:szCs w:val="32"/>
              </w:rPr>
              <w:t>、监事</w:t>
            </w:r>
            <w:r>
              <w:rPr>
                <w:rFonts w:hint="eastAsia" w:eastAsia="黑体"/>
                <w:szCs w:val="32"/>
              </w:rPr>
              <w:t>长</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szCs w:val="32"/>
              </w:rPr>
            </w:pPr>
            <w:r>
              <w:rPr>
                <w:rFonts w:eastAsia="黑体"/>
                <w:szCs w:val="32"/>
              </w:rPr>
              <w:t>待检律师事务所</w:t>
            </w:r>
            <w:r>
              <w:rPr>
                <w:rFonts w:hint="eastAsia" w:eastAsia="黑体"/>
                <w:szCs w:val="32"/>
              </w:rPr>
              <w:t>（</w:t>
            </w:r>
            <w:r>
              <w:rPr>
                <w:rFonts w:hint="default" w:eastAsia="黑体"/>
                <w:szCs w:val="32"/>
                <w:lang w:val="en" w:eastAsia="zh-CN"/>
              </w:rPr>
              <w:t>3</w:t>
            </w:r>
            <w:r>
              <w:rPr>
                <w:rFonts w:hint="eastAsia" w:eastAsia="黑体"/>
                <w:szCs w:val="32"/>
                <w:lang w:val="en-US" w:eastAsia="zh-CN"/>
              </w:rPr>
              <w:t>7</w:t>
            </w:r>
            <w:r>
              <w:rPr>
                <w:rFonts w:hint="eastAsia" w:eastAsia="黑体"/>
                <w:szCs w:val="32"/>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第一组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何朝晖</w:t>
            </w:r>
            <w:r>
              <w:rPr>
                <w:kern w:val="2"/>
                <w:lang w:val="en-US" w:eastAsia="zh-CN"/>
              </w:rPr>
              <w:t>、</w:t>
            </w:r>
            <w:bookmarkStart w:id="0" w:name="_GoBack"/>
            <w:r>
              <w:rPr>
                <w:rFonts w:hint="eastAsia"/>
                <w:kern w:val="2"/>
                <w:lang w:val="en-US" w:eastAsia="zh-CN"/>
              </w:rPr>
              <w:t>刘立文</w:t>
            </w:r>
            <w:bookmarkEnd w:id="0"/>
            <w:r>
              <w:rPr>
                <w:kern w:val="2"/>
                <w:lang w:val="en-US" w:eastAsia="zh-CN"/>
              </w:rPr>
              <w:t>、</w:t>
            </w:r>
            <w:r>
              <w:rPr>
                <w:rFonts w:eastAsia="仿宋_GB2312"/>
                <w:sz w:val="28"/>
                <w:szCs w:val="28"/>
                <w:highlight w:val="none"/>
              </w:rPr>
              <w:t>郝泽渝</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张旭东、林楚泉</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hint="default" w:ascii="仿宋_GB2312" w:hAnsi="宋体" w:cs="宋体"/>
                <w:lang w:val="en" w:eastAsia="zh-CN"/>
              </w:rPr>
            </w:pPr>
            <w:r>
              <w:rPr>
                <w:rFonts w:hint="eastAsia" w:ascii="仿宋_GB2312" w:hAnsi="宋体" w:cs="宋体"/>
                <w:lang w:val="en-US" w:eastAsia="zh-CN"/>
              </w:rPr>
              <w:t>莞益、嘉茂、雄爵、中亚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第二组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黄文胜、黄海清、卢锦仪</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姬明镜</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ascii="仿宋_GB2312" w:hAnsi="宋体" w:cs="宋体"/>
                <w:lang w:val="en-US" w:eastAsia="zh-CN"/>
              </w:rPr>
            </w:pPr>
            <w:r>
              <w:rPr>
                <w:rFonts w:hint="eastAsia" w:ascii="仿宋_GB2312" w:hAnsi="宋体" w:cs="宋体"/>
                <w:lang w:val="en-US" w:eastAsia="zh-CN"/>
              </w:rPr>
              <w:t>国律、东方昆仑(东莞)、彰晨、乾旭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第三组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黄志峰</w:t>
            </w:r>
            <w:r>
              <w:rPr>
                <w:kern w:val="2"/>
                <w:lang w:val="en-US" w:eastAsia="zh-CN"/>
              </w:rPr>
              <w:t>、</w:t>
            </w:r>
            <w:r>
              <w:rPr>
                <w:rFonts w:hint="eastAsia"/>
                <w:kern w:val="2"/>
                <w:lang w:val="en-US" w:eastAsia="zh-CN"/>
              </w:rPr>
              <w:t>吴云峰、孔佩欣</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李道君</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ascii="仿宋_GB2312" w:hAnsi="宋体" w:cs="宋体"/>
                <w:lang w:val="en-US" w:eastAsia="zh-CN"/>
              </w:rPr>
            </w:pPr>
            <w:r>
              <w:rPr>
                <w:rFonts w:hint="eastAsia" w:ascii="仿宋_GB2312" w:hAnsi="宋体" w:cs="宋体"/>
                <w:lang w:val="en-US" w:eastAsia="zh-CN"/>
              </w:rPr>
              <w:t>博琛、弘敏、国晖（东莞）、莞信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第四组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谢景慧、刘雅文、寇威</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吴仲明</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ascii="仿宋_GB2312" w:hAnsi="宋体" w:cs="宋体"/>
                <w:lang w:val="en-US" w:eastAsia="zh-CN"/>
              </w:rPr>
            </w:pPr>
            <w:r>
              <w:rPr>
                <w:rFonts w:hint="eastAsia" w:ascii="仿宋_GB2312" w:hAnsi="宋体" w:cs="宋体"/>
                <w:lang w:val="en-US" w:eastAsia="zh-CN"/>
              </w:rPr>
              <w:t>普翼、达豪、星旭、靓颖、莞诚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w:t>
            </w:r>
            <w:r>
              <w:rPr>
                <w:rFonts w:hint="eastAsia"/>
                <w:kern w:val="2"/>
                <w:lang w:val="en-US" w:eastAsia="zh-CN"/>
              </w:rPr>
              <w:t>五</w:t>
            </w:r>
            <w:r>
              <w:rPr>
                <w:kern w:val="2"/>
                <w:lang w:val="en-US" w:eastAsia="zh-CN"/>
              </w:rPr>
              <w:t>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hint="eastAsia"/>
                <w:kern w:val="2"/>
                <w:lang w:val="en-US" w:eastAsia="zh-CN"/>
              </w:rPr>
            </w:pPr>
            <w:r>
              <w:rPr>
                <w:rFonts w:hint="eastAsia"/>
                <w:kern w:val="2"/>
                <w:lang w:val="en-US" w:eastAsia="zh-CN"/>
              </w:rPr>
              <w:t>龙开族、</w:t>
            </w:r>
            <w:r>
              <w:rPr>
                <w:kern w:val="2"/>
                <w:lang w:val="en-US" w:eastAsia="zh-CN"/>
              </w:rPr>
              <w:t>吴丽娟</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刘浪波</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hint="eastAsia" w:ascii="仿宋_GB2312" w:hAnsi="宋体" w:cs="宋体"/>
                <w:lang w:val="en-US" w:eastAsia="zh-CN"/>
              </w:rPr>
            </w:pPr>
            <w:r>
              <w:rPr>
                <w:rFonts w:hint="eastAsia" w:ascii="仿宋_GB2312" w:hAnsi="宋体" w:cs="宋体"/>
                <w:lang w:val="en-US" w:eastAsia="zh-CN"/>
              </w:rPr>
              <w:t>莞企、必效、飞颂、慕正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w:t>
            </w:r>
            <w:r>
              <w:rPr>
                <w:rFonts w:hint="eastAsia"/>
                <w:kern w:val="2"/>
                <w:lang w:val="en-US" w:eastAsia="zh-CN"/>
              </w:rPr>
              <w:t>六</w:t>
            </w:r>
            <w:r>
              <w:rPr>
                <w:kern w:val="2"/>
                <w:lang w:val="en-US" w:eastAsia="zh-CN"/>
              </w:rPr>
              <w:t>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陈奕妍、刘洁莹</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邹育兵、</w:t>
            </w:r>
            <w:r>
              <w:rPr>
                <w:kern w:val="2"/>
                <w:lang w:val="en-US" w:eastAsia="zh-CN"/>
              </w:rPr>
              <w:t>邝子光</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ascii="仿宋_GB2312" w:hAnsi="宋体" w:cs="宋体"/>
                <w:lang w:val="en-US" w:eastAsia="zh-CN"/>
              </w:rPr>
            </w:pPr>
            <w:r>
              <w:rPr>
                <w:rFonts w:hint="eastAsia" w:ascii="仿宋_GB2312" w:hAnsi="宋体" w:cs="宋体"/>
                <w:lang w:val="en-US" w:eastAsia="zh-CN"/>
              </w:rPr>
              <w:t>莲馨、弘岭、遥力、律点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w:t>
            </w:r>
            <w:r>
              <w:rPr>
                <w:rFonts w:hint="eastAsia"/>
                <w:kern w:val="2"/>
                <w:lang w:val="en-US" w:eastAsia="zh-CN"/>
              </w:rPr>
              <w:t>七</w:t>
            </w:r>
            <w:r>
              <w:rPr>
                <w:kern w:val="2"/>
                <w:lang w:val="en-US" w:eastAsia="zh-CN"/>
              </w:rPr>
              <w:t>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杨岳文、莫瑞仙</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谭舟杨、潘秋波</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ascii="仿宋_GB2312" w:hAnsi="宋体" w:cs="宋体"/>
                <w:lang w:val="en-US" w:eastAsia="zh-CN"/>
              </w:rPr>
            </w:pPr>
            <w:r>
              <w:rPr>
                <w:rFonts w:hint="eastAsia" w:ascii="仿宋_GB2312" w:hAnsi="宋体" w:cs="宋体"/>
                <w:lang w:val="en-US" w:eastAsia="zh-CN"/>
              </w:rPr>
              <w:t>说文、砝码、理而行、展豪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w:t>
            </w:r>
            <w:r>
              <w:rPr>
                <w:rFonts w:hint="eastAsia"/>
                <w:kern w:val="2"/>
                <w:lang w:val="en-US" w:eastAsia="zh-CN"/>
              </w:rPr>
              <w:t>八</w:t>
            </w:r>
            <w:r>
              <w:rPr>
                <w:kern w:val="2"/>
                <w:lang w:val="en-US" w:eastAsia="zh-CN"/>
              </w:rPr>
              <w:t>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胡 倩、刘莉玲</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陈浩鹏、吕新建</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ascii="仿宋_GB2312" w:hAnsi="宋体" w:cs="宋体"/>
                <w:lang w:val="en-US" w:eastAsia="zh-CN"/>
              </w:rPr>
            </w:pPr>
            <w:r>
              <w:rPr>
                <w:rFonts w:hint="eastAsia" w:ascii="仿宋_GB2312" w:hAnsi="宋体" w:cs="宋体"/>
                <w:lang w:val="en-US" w:eastAsia="zh-CN"/>
              </w:rPr>
              <w:t>必至、权晔、海联泰达、湾舟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第九组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陈晓恒、苏泽旋</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肖响华</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ascii="仿宋_GB2312" w:hAnsi="宋体" w:cs="宋体"/>
                <w:lang w:val="en-US" w:eastAsia="zh-CN"/>
              </w:rPr>
            </w:pPr>
            <w:r>
              <w:rPr>
                <w:rFonts w:hint="eastAsia" w:ascii="仿宋_GB2312" w:hAnsi="宋体" w:cs="宋体"/>
                <w:lang w:val="en-US" w:eastAsia="zh-CN"/>
              </w:rPr>
              <w:t>港法、遵会、广永(东莞)、泰旭</w:t>
            </w:r>
          </w:p>
        </w:tc>
      </w:tr>
    </w:tbl>
    <w:p>
      <w:pPr>
        <w:pStyle w:val="27"/>
        <w:ind w:firstLine="0" w:firstLineChars="0"/>
        <w:jc w:val="left"/>
      </w:pPr>
      <w:r>
        <w:t>附件2</w:t>
      </w:r>
    </w:p>
    <w:p>
      <w:pPr>
        <w:pStyle w:val="28"/>
      </w:pPr>
      <w:r>
        <w:t>20</w:t>
      </w:r>
      <w:r>
        <w:rPr>
          <w:rFonts w:hint="eastAsia"/>
          <w:lang w:val="en-US" w:eastAsia="zh-CN"/>
        </w:rPr>
        <w:t>23</w:t>
      </w:r>
      <w:r>
        <w:t>年度律师事务所年度检查考核实地检查标准</w:t>
      </w:r>
    </w:p>
    <w:p>
      <w:pPr>
        <w:spacing w:line="600" w:lineRule="exact"/>
        <w:rPr>
          <w:szCs w:val="32"/>
        </w:rPr>
      </w:pPr>
      <w:r>
        <w:rPr>
          <w:szCs w:val="30"/>
        </w:rPr>
        <w:t>被检查律师事务所：</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273"/>
        <w:gridCol w:w="4796"/>
        <w:gridCol w:w="6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518" w:type="dxa"/>
            <w:gridSpan w:val="2"/>
            <w:noWrap w:val="0"/>
            <w:vAlign w:val="top"/>
          </w:tcPr>
          <w:p>
            <w:pPr>
              <w:spacing w:line="600" w:lineRule="exact"/>
              <w:jc w:val="center"/>
              <w:rPr>
                <w:rFonts w:eastAsia="黑体"/>
                <w:sz w:val="18"/>
                <w:szCs w:val="18"/>
              </w:rPr>
            </w:pPr>
            <w:r>
              <w:rPr>
                <w:rFonts w:eastAsia="黑体"/>
                <w:szCs w:val="32"/>
              </w:rPr>
              <w:t>考核项目</w:t>
            </w:r>
          </w:p>
        </w:tc>
        <w:tc>
          <w:tcPr>
            <w:tcW w:w="4796" w:type="dxa"/>
            <w:noWrap w:val="0"/>
            <w:vAlign w:val="top"/>
          </w:tcPr>
          <w:p>
            <w:pPr>
              <w:spacing w:line="600" w:lineRule="exact"/>
              <w:jc w:val="center"/>
              <w:rPr>
                <w:rFonts w:eastAsia="黑体"/>
                <w:sz w:val="18"/>
                <w:szCs w:val="18"/>
              </w:rPr>
            </w:pPr>
            <w:r>
              <w:rPr>
                <w:rFonts w:eastAsia="黑体"/>
                <w:szCs w:val="32"/>
              </w:rPr>
              <w:t>考核标准</w:t>
            </w:r>
          </w:p>
        </w:tc>
        <w:tc>
          <w:tcPr>
            <w:tcW w:w="6065" w:type="dxa"/>
            <w:noWrap w:val="0"/>
            <w:vAlign w:val="top"/>
          </w:tcPr>
          <w:p>
            <w:pPr>
              <w:spacing w:line="600" w:lineRule="exact"/>
              <w:jc w:val="center"/>
              <w:rPr>
                <w:rFonts w:eastAsia="黑体"/>
                <w:szCs w:val="32"/>
              </w:rPr>
            </w:pPr>
            <w:r>
              <w:rPr>
                <w:rFonts w:eastAsia="黑体"/>
                <w:szCs w:val="32"/>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245" w:type="dxa"/>
            <w:vMerge w:val="restart"/>
            <w:noWrap w:val="0"/>
            <w:vAlign w:val="center"/>
          </w:tcPr>
          <w:p>
            <w:pPr>
              <w:spacing w:line="400" w:lineRule="exact"/>
              <w:jc w:val="center"/>
              <w:rPr>
                <w:sz w:val="24"/>
              </w:rPr>
            </w:pPr>
            <w:r>
              <w:rPr>
                <w:sz w:val="24"/>
              </w:rPr>
              <w:t>基础设施</w:t>
            </w:r>
          </w:p>
        </w:tc>
        <w:tc>
          <w:tcPr>
            <w:tcW w:w="1273" w:type="dxa"/>
            <w:noWrap w:val="0"/>
            <w:vAlign w:val="center"/>
          </w:tcPr>
          <w:p>
            <w:pPr>
              <w:spacing w:line="400" w:lineRule="exact"/>
              <w:rPr>
                <w:sz w:val="24"/>
              </w:rPr>
            </w:pPr>
            <w:r>
              <w:rPr>
                <w:sz w:val="24"/>
              </w:rPr>
              <w:t>办公设施</w:t>
            </w:r>
          </w:p>
        </w:tc>
        <w:tc>
          <w:tcPr>
            <w:tcW w:w="4796" w:type="dxa"/>
            <w:noWrap w:val="0"/>
            <w:vAlign w:val="top"/>
          </w:tcPr>
          <w:p>
            <w:pPr>
              <w:spacing w:line="400" w:lineRule="exact"/>
              <w:rPr>
                <w:rFonts w:eastAsia="黑体"/>
                <w:sz w:val="24"/>
              </w:rPr>
            </w:pPr>
            <w:r>
              <w:rPr>
                <w:sz w:val="24"/>
              </w:rPr>
              <w:t>律师事务所在办公场所醒目位置设有所名称，有专门的前台、会议（客）室、（行政）财务室和独立的档案室</w:t>
            </w:r>
            <w:r>
              <w:rPr>
                <w:rFonts w:hint="eastAsia"/>
                <w:sz w:val="24"/>
              </w:rPr>
              <w:t>（全铁皮档案柜）</w:t>
            </w:r>
            <w:r>
              <w:rPr>
                <w:sz w:val="24"/>
              </w:rPr>
              <w:t>等场所设施。</w:t>
            </w:r>
          </w:p>
        </w:tc>
        <w:tc>
          <w:tcPr>
            <w:tcW w:w="6065" w:type="dxa"/>
            <w:noWrap w:val="0"/>
            <w:vAlign w:val="top"/>
          </w:tcPr>
          <w:p>
            <w:pPr>
              <w:spacing w:line="600" w:lineRule="exac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按位定人制度落实情况</w:t>
            </w:r>
          </w:p>
        </w:tc>
        <w:tc>
          <w:tcPr>
            <w:tcW w:w="4796" w:type="dxa"/>
            <w:noWrap w:val="0"/>
            <w:vAlign w:val="top"/>
          </w:tcPr>
          <w:p>
            <w:pPr>
              <w:spacing w:line="400" w:lineRule="exact"/>
              <w:rPr>
                <w:sz w:val="24"/>
              </w:rPr>
            </w:pPr>
            <w:r>
              <w:rPr>
                <w:sz w:val="24"/>
              </w:rPr>
              <w:t>律师事务所全部执业律师有办公室或办公座位，辅助人员有办公座位；律师办公室或办公座位的设计空间合理、风格统一、标识明确、专人专位。</w:t>
            </w:r>
          </w:p>
        </w:tc>
        <w:tc>
          <w:tcPr>
            <w:tcW w:w="6065" w:type="dxa"/>
            <w:noWrap w:val="0"/>
            <w:vAlign w:val="top"/>
          </w:tcPr>
          <w:p>
            <w:pPr>
              <w:spacing w:line="600" w:lineRule="exac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执业</w:t>
            </w:r>
          </w:p>
          <w:p>
            <w:pPr>
              <w:spacing w:line="400" w:lineRule="exact"/>
              <w:jc w:val="center"/>
              <w:rPr>
                <w:sz w:val="24"/>
              </w:rPr>
            </w:pPr>
            <w:r>
              <w:rPr>
                <w:sz w:val="24"/>
              </w:rPr>
              <w:t>公示</w:t>
            </w:r>
          </w:p>
        </w:tc>
        <w:tc>
          <w:tcPr>
            <w:tcW w:w="4796" w:type="dxa"/>
            <w:noWrap w:val="0"/>
            <w:vAlign w:val="top"/>
          </w:tcPr>
          <w:p>
            <w:pPr>
              <w:spacing w:line="400" w:lineRule="exact"/>
              <w:rPr>
                <w:sz w:val="24"/>
              </w:rPr>
            </w:pPr>
          </w:p>
          <w:p>
            <w:pPr>
              <w:spacing w:line="400" w:lineRule="exact"/>
              <w:rPr>
                <w:sz w:val="24"/>
              </w:rPr>
            </w:pPr>
            <w:r>
              <w:rPr>
                <w:rFonts w:hint="eastAsia"/>
                <w:sz w:val="24"/>
              </w:rPr>
              <w:t>律师事务所</w:t>
            </w:r>
            <w:r>
              <w:rPr>
                <w:sz w:val="24"/>
              </w:rPr>
              <w:t>执业许可证</w:t>
            </w:r>
            <w:r>
              <w:rPr>
                <w:rFonts w:hint="eastAsia"/>
                <w:sz w:val="24"/>
              </w:rPr>
              <w:t>正本（1：1彩印）</w:t>
            </w:r>
            <w:r>
              <w:rPr>
                <w:sz w:val="24"/>
              </w:rPr>
              <w:t>、市司法局（22314562）和律师协会（21668606）投诉电话、律师及实习人员名单规范上墙公示。</w:t>
            </w:r>
          </w:p>
        </w:tc>
        <w:tc>
          <w:tcPr>
            <w:tcW w:w="6065" w:type="dxa"/>
            <w:noWrap w:val="0"/>
            <w:vAlign w:val="top"/>
          </w:tcPr>
          <w:p>
            <w:pPr>
              <w:spacing w:line="600" w:lineRule="exac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restart"/>
            <w:noWrap w:val="0"/>
            <w:vAlign w:val="center"/>
          </w:tcPr>
          <w:p>
            <w:pPr>
              <w:spacing w:line="400" w:lineRule="exact"/>
              <w:jc w:val="center"/>
              <w:rPr>
                <w:sz w:val="24"/>
              </w:rPr>
            </w:pPr>
            <w:r>
              <w:rPr>
                <w:sz w:val="24"/>
              </w:rPr>
              <w:t>队伍建设</w:t>
            </w:r>
          </w:p>
        </w:tc>
        <w:tc>
          <w:tcPr>
            <w:tcW w:w="1273" w:type="dxa"/>
            <w:noWrap w:val="0"/>
            <w:vAlign w:val="center"/>
          </w:tcPr>
          <w:p>
            <w:pPr>
              <w:spacing w:line="400" w:lineRule="exact"/>
              <w:jc w:val="center"/>
              <w:rPr>
                <w:sz w:val="24"/>
              </w:rPr>
            </w:pPr>
            <w:r>
              <w:rPr>
                <w:sz w:val="24"/>
              </w:rPr>
              <w:t>保持法定设立条件</w:t>
            </w:r>
          </w:p>
        </w:tc>
        <w:tc>
          <w:tcPr>
            <w:tcW w:w="4796" w:type="dxa"/>
            <w:noWrap w:val="0"/>
            <w:vAlign w:val="top"/>
          </w:tcPr>
          <w:p>
            <w:pPr>
              <w:spacing w:line="400" w:lineRule="exact"/>
              <w:rPr>
                <w:sz w:val="24"/>
              </w:rPr>
            </w:pPr>
            <w:r>
              <w:rPr>
                <w:sz w:val="24"/>
              </w:rPr>
              <w:t>普通合伙所是否因合伙人受到行政处罚丧失资格条件、合伙人退伙等原因导致合伙人不足三名；分所是否有三名以上律师事务所派驻的专职律师；设立分所的律师事务所是否有二十名以上执业律师等</w:t>
            </w:r>
            <w:r>
              <w:rPr>
                <w:rFonts w:hint="eastAsia"/>
                <w:sz w:val="24"/>
              </w:rPr>
              <w:t>。</w:t>
            </w:r>
          </w:p>
        </w:tc>
        <w:tc>
          <w:tcPr>
            <w:tcW w:w="6065" w:type="dxa"/>
            <w:noWrap w:val="0"/>
            <w:vAlign w:val="top"/>
          </w:tcPr>
          <w:p>
            <w:pPr>
              <w:spacing w:line="600" w:lineRule="exac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确保律师行业正确的政治方向</w:t>
            </w:r>
          </w:p>
        </w:tc>
        <w:tc>
          <w:tcPr>
            <w:tcW w:w="4796" w:type="dxa"/>
            <w:noWrap w:val="0"/>
            <w:vAlign w:val="top"/>
          </w:tcPr>
          <w:p>
            <w:pPr>
              <w:spacing w:line="400" w:lineRule="exact"/>
              <w:rPr>
                <w:sz w:val="24"/>
              </w:rPr>
            </w:pPr>
            <w:r>
              <w:rPr>
                <w:rFonts w:hint="eastAsia"/>
                <w:sz w:val="24"/>
              </w:rPr>
              <w:t>组织广大律师特别是党员律师坚持政治理论学习,认真学习贯彻党的二十大精神,深入贯彻习近平法治思想、习近平总书记对律师工作的重要指示精神,确保律师工作正确的政治方向情况</w:t>
            </w:r>
          </w:p>
        </w:tc>
        <w:tc>
          <w:tcPr>
            <w:tcW w:w="6065" w:type="dxa"/>
            <w:noWrap w:val="0"/>
            <w:vAlign w:val="top"/>
          </w:tcPr>
          <w:p>
            <w:pPr>
              <w:spacing w:line="600" w:lineRule="exac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党建工作</w:t>
            </w:r>
          </w:p>
        </w:tc>
        <w:tc>
          <w:tcPr>
            <w:tcW w:w="4796" w:type="dxa"/>
            <w:noWrap w:val="0"/>
            <w:vAlign w:val="top"/>
          </w:tcPr>
          <w:p>
            <w:pPr>
              <w:spacing w:line="400" w:lineRule="exact"/>
              <w:rPr>
                <w:sz w:val="24"/>
              </w:rPr>
            </w:pPr>
            <w:r>
              <w:rPr>
                <w:rFonts w:hint="eastAsia"/>
                <w:sz w:val="24"/>
              </w:rPr>
              <w:t>落实《中共广东省律师行业委员会关于做好2023年度律师事务所党建考评工作的通知》(粤律党〔202</w:t>
            </w:r>
            <w:r>
              <w:rPr>
                <w:rFonts w:hint="eastAsia"/>
                <w:sz w:val="24"/>
                <w:lang w:val="en-US" w:eastAsia="zh-CN"/>
              </w:rPr>
              <w:t>4</w:t>
            </w:r>
            <w:r>
              <w:rPr>
                <w:rFonts w:hint="eastAsia"/>
                <w:sz w:val="24"/>
              </w:rPr>
              <w:t>〕</w:t>
            </w:r>
            <w:r>
              <w:rPr>
                <w:rFonts w:hint="eastAsia"/>
                <w:sz w:val="24"/>
                <w:lang w:val="en-US" w:eastAsia="zh-CN"/>
              </w:rPr>
              <w:t>3</w:t>
            </w:r>
            <w:r>
              <w:rPr>
                <w:rFonts w:hint="eastAsia"/>
                <w:sz w:val="24"/>
              </w:rPr>
              <w:t xml:space="preserve"> 号)的情况。</w:t>
            </w:r>
          </w:p>
        </w:tc>
        <w:tc>
          <w:tcPr>
            <w:tcW w:w="6065" w:type="dxa"/>
            <w:noWrap w:val="0"/>
            <w:vAlign w:val="top"/>
          </w:tcPr>
          <w:p>
            <w:pPr>
              <w:spacing w:line="600" w:lineRule="exac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restart"/>
            <w:noWrap w:val="0"/>
            <w:vAlign w:val="center"/>
          </w:tcPr>
          <w:p>
            <w:pPr>
              <w:spacing w:line="400" w:lineRule="exact"/>
              <w:jc w:val="center"/>
              <w:rPr>
                <w:sz w:val="24"/>
              </w:rPr>
            </w:pPr>
            <w:r>
              <w:rPr>
                <w:sz w:val="24"/>
              </w:rPr>
              <w:t>管理制度落实情况</w:t>
            </w:r>
          </w:p>
        </w:tc>
        <w:tc>
          <w:tcPr>
            <w:tcW w:w="1273" w:type="dxa"/>
            <w:noWrap w:val="0"/>
            <w:vAlign w:val="center"/>
          </w:tcPr>
          <w:p>
            <w:pPr>
              <w:spacing w:line="400" w:lineRule="exact"/>
              <w:jc w:val="center"/>
              <w:rPr>
                <w:sz w:val="24"/>
              </w:rPr>
            </w:pPr>
            <w:r>
              <w:rPr>
                <w:sz w:val="24"/>
              </w:rPr>
              <w:t>收案审查</w:t>
            </w:r>
          </w:p>
        </w:tc>
        <w:tc>
          <w:tcPr>
            <w:tcW w:w="4796" w:type="dxa"/>
            <w:noWrap w:val="0"/>
            <w:vAlign w:val="top"/>
          </w:tcPr>
          <w:p>
            <w:pPr>
              <w:spacing w:line="400" w:lineRule="exact"/>
              <w:rPr>
                <w:sz w:val="24"/>
              </w:rPr>
            </w:pPr>
            <w:r>
              <w:rPr>
                <w:sz w:val="24"/>
              </w:rPr>
              <w:t>有书面制度；律师所统一接受委托；有专人负责收案登记管理；统一进行收案审查，利益冲突审查。</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收费管理</w:t>
            </w:r>
          </w:p>
        </w:tc>
        <w:tc>
          <w:tcPr>
            <w:tcW w:w="4796" w:type="dxa"/>
            <w:noWrap w:val="0"/>
            <w:vAlign w:val="top"/>
          </w:tcPr>
          <w:p>
            <w:pPr>
              <w:spacing w:line="400" w:lineRule="exact"/>
              <w:rPr>
                <w:sz w:val="24"/>
              </w:rPr>
            </w:pPr>
            <w:r>
              <w:rPr>
                <w:sz w:val="24"/>
              </w:rPr>
              <w:t>有书面制度；聘请专业财务人员担任会计或出纳；按照规定统一收取费用并如实入账；办结案件的律师费发票附入案卷档案。</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rFonts w:hint="eastAsia" w:eastAsia="仿宋_GB2312"/>
                <w:color w:val="auto"/>
                <w:sz w:val="24"/>
                <w:lang w:eastAsia="zh-CN"/>
              </w:rPr>
            </w:pPr>
            <w:r>
              <w:rPr>
                <w:rFonts w:hint="eastAsia"/>
                <w:color w:val="auto"/>
                <w:sz w:val="24"/>
                <w:lang w:eastAsia="zh-CN"/>
              </w:rPr>
              <w:t>决策管理</w:t>
            </w:r>
          </w:p>
        </w:tc>
        <w:tc>
          <w:tcPr>
            <w:tcW w:w="4796" w:type="dxa"/>
            <w:noWrap w:val="0"/>
            <w:vAlign w:val="top"/>
          </w:tcPr>
          <w:p>
            <w:pPr>
              <w:spacing w:line="400" w:lineRule="exact"/>
              <w:rPr>
                <w:rFonts w:hint="default" w:eastAsia="仿宋_GB2312"/>
                <w:color w:val="auto"/>
                <w:sz w:val="24"/>
                <w:lang w:val="en" w:eastAsia="zh-CN"/>
              </w:rPr>
            </w:pPr>
            <w:r>
              <w:rPr>
                <w:rFonts w:hint="eastAsia"/>
                <w:color w:val="auto"/>
                <w:sz w:val="24"/>
                <w:lang w:eastAsia="zh-CN"/>
              </w:rPr>
              <w:t>查阅合伙人（律师）会议记录或会议决议，重大决策召开合伙人会议或律师会议决策；个人所重大决策听取聘用律师意见情况。</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印章管理</w:t>
            </w:r>
          </w:p>
        </w:tc>
        <w:tc>
          <w:tcPr>
            <w:tcW w:w="4796" w:type="dxa"/>
            <w:noWrap w:val="0"/>
            <w:vAlign w:val="top"/>
          </w:tcPr>
          <w:p>
            <w:pPr>
              <w:spacing w:line="400" w:lineRule="exact"/>
              <w:rPr>
                <w:sz w:val="24"/>
              </w:rPr>
            </w:pPr>
            <w:r>
              <w:rPr>
                <w:sz w:val="24"/>
              </w:rPr>
              <w:t>有书面制度；有专人负责保管印章；印章使用有相应的审查制度</w:t>
            </w:r>
            <w:r>
              <w:rPr>
                <w:rFonts w:hint="eastAsia"/>
                <w:sz w:val="24"/>
                <w:lang w:eastAsia="zh-CN"/>
              </w:rPr>
              <w:t>并落实</w:t>
            </w:r>
            <w:r>
              <w:rPr>
                <w:sz w:val="24"/>
              </w:rPr>
              <w:t>；使用印章有登记。</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rFonts w:hint="eastAsia"/>
                <w:sz w:val="24"/>
              </w:rPr>
              <w:t>律所</w:t>
            </w:r>
            <w:r>
              <w:rPr>
                <w:sz w:val="24"/>
              </w:rPr>
              <w:t>基金建立情况</w:t>
            </w:r>
          </w:p>
        </w:tc>
        <w:tc>
          <w:tcPr>
            <w:tcW w:w="4796" w:type="dxa"/>
            <w:noWrap w:val="0"/>
            <w:vAlign w:val="top"/>
          </w:tcPr>
          <w:p>
            <w:pPr>
              <w:spacing w:line="400" w:lineRule="exact"/>
              <w:rPr>
                <w:sz w:val="24"/>
              </w:rPr>
            </w:pPr>
            <w:r>
              <w:rPr>
                <w:rFonts w:hint="eastAsia"/>
                <w:sz w:val="24"/>
              </w:rPr>
              <w:t>查阅会计账目；</w:t>
            </w:r>
            <w:r>
              <w:rPr>
                <w:sz w:val="24"/>
              </w:rPr>
              <w:t>执业风险和事业发展等基金建立情况（如基金种类、</w:t>
            </w:r>
            <w:r>
              <w:rPr>
                <w:rFonts w:hint="eastAsia"/>
                <w:sz w:val="24"/>
              </w:rPr>
              <w:t>提取数额、</w:t>
            </w:r>
            <w:r>
              <w:rPr>
                <w:sz w:val="24"/>
              </w:rPr>
              <w:t>使用</w:t>
            </w:r>
            <w:r>
              <w:rPr>
                <w:rFonts w:hint="eastAsia"/>
                <w:sz w:val="24"/>
              </w:rPr>
              <w:t>情况</w:t>
            </w:r>
            <w:r>
              <w:rPr>
                <w:sz w:val="24"/>
              </w:rPr>
              <w:t>等）</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公文管理</w:t>
            </w:r>
          </w:p>
        </w:tc>
        <w:tc>
          <w:tcPr>
            <w:tcW w:w="4796" w:type="dxa"/>
            <w:noWrap w:val="0"/>
            <w:vAlign w:val="top"/>
          </w:tcPr>
          <w:p>
            <w:pPr>
              <w:spacing w:line="400" w:lineRule="exact"/>
              <w:rPr>
                <w:sz w:val="24"/>
              </w:rPr>
            </w:pPr>
            <w:r>
              <w:rPr>
                <w:sz w:val="24"/>
              </w:rPr>
              <w:t>有书面制度；律师所的所函、介绍信由专人保管并存档。</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color w:val="auto"/>
                <w:sz w:val="24"/>
              </w:rPr>
            </w:pPr>
            <w:r>
              <w:rPr>
                <w:color w:val="auto"/>
                <w:sz w:val="24"/>
              </w:rPr>
              <w:t>诚信执业</w:t>
            </w:r>
          </w:p>
        </w:tc>
        <w:tc>
          <w:tcPr>
            <w:tcW w:w="4796" w:type="dxa"/>
            <w:noWrap w:val="0"/>
            <w:vAlign w:val="top"/>
          </w:tcPr>
          <w:p>
            <w:pPr>
              <w:spacing w:line="400" w:lineRule="exact"/>
              <w:rPr>
                <w:rFonts w:hint="eastAsia" w:eastAsia="仿宋_GB2312"/>
                <w:color w:val="auto"/>
                <w:sz w:val="24"/>
                <w:lang w:eastAsia="zh-CN"/>
              </w:rPr>
            </w:pPr>
            <w:r>
              <w:rPr>
                <w:rFonts w:hint="eastAsia"/>
                <w:color w:val="auto"/>
                <w:sz w:val="24"/>
                <w:lang w:eastAsia="zh-CN"/>
              </w:rPr>
              <w:t>查阅律所及所内律师视频号、抖音号汇总清单，并随机抽查个别账号，检查是否</w:t>
            </w:r>
            <w:r>
              <w:rPr>
                <w:color w:val="auto"/>
                <w:sz w:val="24"/>
              </w:rPr>
              <w:t>通过名片、广告牌、网站、公众号等途径进行夸大、虚假等违规宣传推介；</w:t>
            </w:r>
            <w:r>
              <w:rPr>
                <w:rFonts w:hint="eastAsia"/>
                <w:color w:val="auto"/>
                <w:sz w:val="24"/>
                <w:lang w:eastAsia="zh-CN"/>
              </w:rPr>
              <w:t>是否向</w:t>
            </w:r>
            <w:r>
              <w:rPr>
                <w:color w:val="auto"/>
                <w:sz w:val="24"/>
              </w:rPr>
              <w:t>当事人</w:t>
            </w:r>
            <w:r>
              <w:rPr>
                <w:rFonts w:hint="eastAsia"/>
                <w:color w:val="auto"/>
                <w:sz w:val="24"/>
                <w:lang w:eastAsia="zh-CN"/>
              </w:rPr>
              <w:t>进行风险告知</w:t>
            </w:r>
            <w:r>
              <w:rPr>
                <w:color w:val="auto"/>
                <w:sz w:val="24"/>
              </w:rPr>
              <w:t xml:space="preserve">。 </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rFonts w:hint="eastAsia" w:eastAsia="仿宋_GB2312"/>
                <w:color w:val="auto"/>
                <w:sz w:val="24"/>
                <w:lang w:eastAsia="zh-CN"/>
              </w:rPr>
            </w:pPr>
            <w:r>
              <w:rPr>
                <w:rFonts w:hint="eastAsia"/>
                <w:color w:val="auto"/>
                <w:sz w:val="24"/>
                <w:lang w:eastAsia="zh-CN"/>
              </w:rPr>
              <w:t>人员管理</w:t>
            </w:r>
          </w:p>
        </w:tc>
        <w:tc>
          <w:tcPr>
            <w:tcW w:w="4796" w:type="dxa"/>
            <w:noWrap w:val="0"/>
            <w:vAlign w:val="top"/>
          </w:tcPr>
          <w:p>
            <w:pPr>
              <w:spacing w:line="400" w:lineRule="exact"/>
              <w:rPr>
                <w:rFonts w:hint="eastAsia" w:eastAsia="仿宋_GB2312"/>
                <w:color w:val="auto"/>
                <w:sz w:val="24"/>
                <w:lang w:eastAsia="zh-CN"/>
              </w:rPr>
            </w:pPr>
            <w:r>
              <w:rPr>
                <w:rFonts w:hint="eastAsia"/>
                <w:color w:val="auto"/>
                <w:sz w:val="24"/>
              </w:rPr>
              <w:t>所内人员</w:t>
            </w:r>
            <w:r>
              <w:rPr>
                <w:rFonts w:hint="eastAsia"/>
                <w:color w:val="auto"/>
                <w:sz w:val="24"/>
                <w:lang w:eastAsia="zh-CN"/>
              </w:rPr>
              <w:t>（律师和辅助人员）</w:t>
            </w:r>
            <w:r>
              <w:rPr>
                <w:rFonts w:hint="eastAsia"/>
                <w:color w:val="auto"/>
                <w:sz w:val="24"/>
              </w:rPr>
              <w:t>“一人一档”，签订劳动合同</w:t>
            </w:r>
            <w:r>
              <w:rPr>
                <w:rFonts w:hint="eastAsia"/>
                <w:color w:val="auto"/>
                <w:sz w:val="24"/>
                <w:lang w:eastAsia="zh-CN"/>
              </w:rPr>
              <w:t>，</w:t>
            </w:r>
            <w:r>
              <w:rPr>
                <w:rFonts w:hint="eastAsia"/>
                <w:color w:val="auto"/>
                <w:sz w:val="24"/>
              </w:rPr>
              <w:t>保障最低工资标准</w:t>
            </w:r>
            <w:r>
              <w:rPr>
                <w:rFonts w:hint="eastAsia"/>
                <w:color w:val="auto"/>
                <w:sz w:val="24"/>
                <w:lang w:eastAsia="zh-CN"/>
              </w:rPr>
              <w:t>，办理失业、养老、医疗等社会保险。（</w:t>
            </w:r>
            <w:r>
              <w:rPr>
                <w:rFonts w:hint="eastAsia"/>
                <w:color w:val="FF0000"/>
                <w:sz w:val="24"/>
                <w:lang w:eastAsia="zh-CN"/>
              </w:rPr>
              <w:t>现场查看</w:t>
            </w:r>
            <w:r>
              <w:rPr>
                <w:rFonts w:hint="eastAsia"/>
                <w:color w:val="auto"/>
                <w:sz w:val="24"/>
                <w:lang w:eastAsia="zh-CN"/>
              </w:rPr>
              <w:t>）</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245" w:type="dxa"/>
            <w:vMerge w:val="continue"/>
            <w:noWrap w:val="0"/>
            <w:vAlign w:val="center"/>
          </w:tcPr>
          <w:p>
            <w:pPr>
              <w:spacing w:line="400" w:lineRule="exact"/>
              <w:jc w:val="center"/>
              <w:rPr>
                <w:sz w:val="24"/>
              </w:rPr>
            </w:pPr>
          </w:p>
        </w:tc>
        <w:tc>
          <w:tcPr>
            <w:tcW w:w="1273" w:type="dxa"/>
            <w:vMerge w:val="restart"/>
            <w:noWrap w:val="0"/>
            <w:vAlign w:val="center"/>
          </w:tcPr>
          <w:p>
            <w:pPr>
              <w:spacing w:line="400" w:lineRule="exact"/>
              <w:jc w:val="center"/>
              <w:rPr>
                <w:sz w:val="24"/>
              </w:rPr>
            </w:pPr>
            <w:r>
              <w:rPr>
                <w:sz w:val="24"/>
              </w:rPr>
              <w:t>档案管理</w:t>
            </w:r>
          </w:p>
        </w:tc>
        <w:tc>
          <w:tcPr>
            <w:tcW w:w="4796" w:type="dxa"/>
            <w:noWrap w:val="0"/>
            <w:vAlign w:val="top"/>
          </w:tcPr>
          <w:p>
            <w:pPr>
              <w:spacing w:line="400" w:lineRule="exact"/>
              <w:rPr>
                <w:sz w:val="24"/>
              </w:rPr>
            </w:pPr>
            <w:r>
              <w:rPr>
                <w:sz w:val="24"/>
              </w:rPr>
              <w:t>上级管理部门的文件汇编成册或集中展示供律师查阅。</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245" w:type="dxa"/>
            <w:vMerge w:val="continue"/>
            <w:noWrap w:val="0"/>
            <w:vAlign w:val="center"/>
          </w:tcPr>
          <w:p>
            <w:pPr>
              <w:spacing w:line="400" w:lineRule="exact"/>
              <w:jc w:val="center"/>
              <w:rPr>
                <w:sz w:val="24"/>
              </w:rPr>
            </w:pPr>
          </w:p>
        </w:tc>
        <w:tc>
          <w:tcPr>
            <w:tcW w:w="1273" w:type="dxa"/>
            <w:vMerge w:val="continue"/>
            <w:noWrap w:val="0"/>
            <w:vAlign w:val="center"/>
          </w:tcPr>
          <w:p>
            <w:pPr>
              <w:spacing w:line="400" w:lineRule="exact"/>
              <w:jc w:val="center"/>
              <w:rPr>
                <w:sz w:val="24"/>
              </w:rPr>
            </w:pPr>
          </w:p>
        </w:tc>
        <w:tc>
          <w:tcPr>
            <w:tcW w:w="4796" w:type="dxa"/>
            <w:noWrap w:val="0"/>
            <w:vAlign w:val="top"/>
          </w:tcPr>
          <w:p>
            <w:pPr>
              <w:rPr>
                <w:sz w:val="24"/>
              </w:rPr>
            </w:pPr>
            <w:r>
              <w:rPr>
                <w:sz w:val="24"/>
              </w:rPr>
              <w:t>有书面制度；律师所指派专人负责档案管理；档案室硬件设施符合司法部有关规定</w:t>
            </w:r>
            <w:r>
              <w:rPr>
                <w:rFonts w:hint="eastAsia"/>
                <w:sz w:val="24"/>
              </w:rPr>
              <w:t>：应坚实、防火、防盗、防潮、防高温、防鼠、防虫、防光、防污染，室内要保持清洁、整齐、通风。</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重大群体性敏感案件管理</w:t>
            </w:r>
          </w:p>
        </w:tc>
        <w:tc>
          <w:tcPr>
            <w:tcW w:w="4796" w:type="dxa"/>
            <w:noWrap w:val="0"/>
            <w:vAlign w:val="top"/>
          </w:tcPr>
          <w:p>
            <w:pPr>
              <w:spacing w:line="400" w:lineRule="exact"/>
              <w:rPr>
                <w:sz w:val="24"/>
              </w:rPr>
            </w:pPr>
            <w:r>
              <w:rPr>
                <w:sz w:val="24"/>
              </w:rPr>
              <w:t>有书面制度；对律师代理扫黑除恶、重大群体性敏感案件有集体研究、案件分析并形成书面指导意见；按工作要求及时报告备案。</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投诉查处</w:t>
            </w:r>
          </w:p>
        </w:tc>
        <w:tc>
          <w:tcPr>
            <w:tcW w:w="4796" w:type="dxa"/>
            <w:noWrap w:val="0"/>
            <w:vAlign w:val="top"/>
          </w:tcPr>
          <w:p>
            <w:pPr>
              <w:spacing w:line="400" w:lineRule="exact"/>
              <w:rPr>
                <w:sz w:val="24"/>
              </w:rPr>
            </w:pPr>
            <w:r>
              <w:rPr>
                <w:sz w:val="24"/>
              </w:rPr>
              <w:t>有书面制度；专人负责投诉查处工作；积极配合管理部门调查处理投诉。</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rPr>
                <w:color w:val="auto"/>
                <w:sz w:val="24"/>
              </w:rPr>
            </w:pPr>
            <w:r>
              <w:rPr>
                <w:rFonts w:hint="eastAsia"/>
                <w:color w:val="auto"/>
                <w:sz w:val="24"/>
                <w:lang w:val="en-US" w:eastAsia="zh-CN"/>
              </w:rPr>
              <w:t>章程、合伙协议</w:t>
            </w:r>
          </w:p>
        </w:tc>
        <w:tc>
          <w:tcPr>
            <w:tcW w:w="4796" w:type="dxa"/>
            <w:noWrap w:val="0"/>
            <w:vAlign w:val="top"/>
          </w:tcPr>
          <w:p>
            <w:pPr>
              <w:spacing w:line="400" w:lineRule="exact"/>
              <w:rPr>
                <w:color w:val="auto"/>
                <w:sz w:val="24"/>
              </w:rPr>
            </w:pPr>
            <w:r>
              <w:rPr>
                <w:rFonts w:hint="eastAsia"/>
                <w:color w:val="auto"/>
                <w:sz w:val="24"/>
                <w:lang w:val="en-US" w:eastAsia="zh-CN"/>
              </w:rPr>
              <w:t>查阅律师所章程、合伙协议，检查合伙人变更后章程、合伙协议变更情况；检查规定的律师所解散的事由、程序以及清算办法、合伙人入退伙及除名的条件和程序、合伙人之间争议的解决方法和程序，违反合伙协议承担的责任等条款清晰无异议。</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辞退和除名</w:t>
            </w:r>
          </w:p>
        </w:tc>
        <w:tc>
          <w:tcPr>
            <w:tcW w:w="4796" w:type="dxa"/>
            <w:noWrap w:val="0"/>
            <w:vAlign w:val="top"/>
          </w:tcPr>
          <w:p>
            <w:pPr>
              <w:spacing w:line="400" w:lineRule="exact"/>
              <w:rPr>
                <w:sz w:val="24"/>
              </w:rPr>
            </w:pPr>
            <w:r>
              <w:rPr>
                <w:sz w:val="24"/>
              </w:rPr>
              <w:t>有书面制度并让全体律师签名确认；对违法违规执业、违反本所章程制度的律师按制度予以辞退或除名</w:t>
            </w:r>
            <w:r>
              <w:rPr>
                <w:rFonts w:hint="eastAsia"/>
                <w:sz w:val="24"/>
                <w:lang w:eastAsia="zh-CN"/>
              </w:rPr>
              <w:t>，及时办理转所或注销手续</w:t>
            </w:r>
            <w:r>
              <w:rPr>
                <w:sz w:val="24"/>
              </w:rPr>
              <w:t>；向市司法局和律师协会备案有关处理结果。</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表彰奖励</w:t>
            </w:r>
          </w:p>
        </w:tc>
        <w:tc>
          <w:tcPr>
            <w:tcW w:w="4796" w:type="dxa"/>
            <w:noWrap w:val="0"/>
            <w:vAlign w:val="top"/>
          </w:tcPr>
          <w:p>
            <w:pPr>
              <w:spacing w:line="400" w:lineRule="exact"/>
              <w:rPr>
                <w:sz w:val="24"/>
              </w:rPr>
            </w:pPr>
            <w:r>
              <w:rPr>
                <w:sz w:val="24"/>
              </w:rPr>
              <w:t>有书面制度；按制度对执业表现突出的律师予以表彰奖励。</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245" w:type="dxa"/>
            <w:tcBorders>
              <w:top w:val="single" w:color="auto" w:sz="4" w:space="0"/>
            </w:tcBorders>
            <w:noWrap w:val="0"/>
            <w:vAlign w:val="center"/>
          </w:tcPr>
          <w:p>
            <w:pPr>
              <w:spacing w:line="400" w:lineRule="exact"/>
              <w:rPr>
                <w:sz w:val="24"/>
              </w:rPr>
            </w:pPr>
            <w:r>
              <w:rPr>
                <w:rFonts w:hint="eastAsia"/>
                <w:sz w:val="24"/>
              </w:rPr>
              <w:t>执业律师符合执业条件的情况</w:t>
            </w:r>
          </w:p>
        </w:tc>
        <w:tc>
          <w:tcPr>
            <w:tcW w:w="6069" w:type="dxa"/>
            <w:gridSpan w:val="2"/>
            <w:tcBorders>
              <w:top w:val="single" w:color="auto" w:sz="4" w:space="0"/>
            </w:tcBorders>
            <w:noWrap w:val="0"/>
            <w:vAlign w:val="top"/>
          </w:tcPr>
          <w:p>
            <w:pPr>
              <w:spacing w:line="400" w:lineRule="exact"/>
              <w:rPr>
                <w:rFonts w:hint="eastAsia"/>
                <w:sz w:val="24"/>
              </w:rPr>
            </w:pPr>
            <w:r>
              <w:rPr>
                <w:rFonts w:hint="eastAsia"/>
                <w:sz w:val="24"/>
              </w:rPr>
              <w:t>专职律师是否存在违规兼职的情况；兼职律师是否保持兼职执业条件。</w:t>
            </w:r>
          </w:p>
          <w:p>
            <w:pPr>
              <w:spacing w:line="400" w:lineRule="exact"/>
              <w:rPr>
                <w:sz w:val="24"/>
              </w:rPr>
            </w:pPr>
            <w:r>
              <w:rPr>
                <w:rFonts w:hint="eastAsia"/>
                <w:sz w:val="24"/>
              </w:rPr>
              <w:t>法检离任人员在律所的从业情况，是否已在法检离任人员及工作人员近亲属在律所从业核查填报系统校正。</w:t>
            </w:r>
          </w:p>
        </w:tc>
        <w:tc>
          <w:tcPr>
            <w:tcW w:w="6065" w:type="dxa"/>
            <w:noWrap w:val="0"/>
            <w:vAlign w:val="top"/>
          </w:tcPr>
          <w:p>
            <w:pPr>
              <w:spacing w:line="600" w:lineRule="exact"/>
              <w:rPr>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245" w:type="dxa"/>
            <w:tcBorders>
              <w:top w:val="single" w:color="auto" w:sz="4" w:space="0"/>
            </w:tcBorders>
            <w:noWrap w:val="0"/>
            <w:vAlign w:val="center"/>
          </w:tcPr>
          <w:p>
            <w:pPr>
              <w:spacing w:line="400" w:lineRule="exact"/>
              <w:jc w:val="center"/>
              <w:rPr>
                <w:sz w:val="24"/>
              </w:rPr>
            </w:pPr>
            <w:r>
              <w:rPr>
                <w:sz w:val="24"/>
              </w:rPr>
              <w:t>律师参与公益工作情况</w:t>
            </w:r>
          </w:p>
        </w:tc>
        <w:tc>
          <w:tcPr>
            <w:tcW w:w="6069" w:type="dxa"/>
            <w:gridSpan w:val="2"/>
            <w:tcBorders>
              <w:top w:val="single" w:color="auto" w:sz="4" w:space="0"/>
            </w:tcBorders>
            <w:noWrap w:val="0"/>
            <w:vAlign w:val="top"/>
          </w:tcPr>
          <w:p>
            <w:pPr>
              <w:spacing w:line="400" w:lineRule="exact"/>
              <w:rPr>
                <w:sz w:val="24"/>
              </w:rPr>
            </w:pPr>
            <w:r>
              <w:rPr>
                <w:sz w:val="24"/>
              </w:rPr>
              <w:t>按照市委、市政府《关于印发&lt;东莞市深化一村（社区）一法律顾问工作实施方案&gt;的通知》的要求，认真履行相应职责；积极参加法律援助等社会公益活动。</w:t>
            </w:r>
          </w:p>
        </w:tc>
        <w:tc>
          <w:tcPr>
            <w:tcW w:w="6065" w:type="dxa"/>
            <w:noWrap w:val="0"/>
            <w:vAlign w:val="top"/>
          </w:tcPr>
          <w:p>
            <w:pPr>
              <w:spacing w:line="600" w:lineRule="exact"/>
              <w:rPr>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45" w:type="dxa"/>
            <w:tcBorders>
              <w:top w:val="single" w:color="auto" w:sz="4" w:space="0"/>
            </w:tcBorders>
            <w:noWrap w:val="0"/>
            <w:vAlign w:val="center"/>
          </w:tcPr>
          <w:p>
            <w:pPr>
              <w:spacing w:line="400" w:lineRule="exact"/>
              <w:rPr>
                <w:sz w:val="24"/>
              </w:rPr>
            </w:pPr>
            <w:r>
              <w:rPr>
                <w:sz w:val="24"/>
              </w:rPr>
              <w:t>其它管理</w:t>
            </w:r>
          </w:p>
        </w:tc>
        <w:tc>
          <w:tcPr>
            <w:tcW w:w="6069" w:type="dxa"/>
            <w:gridSpan w:val="2"/>
            <w:tcBorders>
              <w:top w:val="single" w:color="auto" w:sz="4" w:space="0"/>
            </w:tcBorders>
            <w:noWrap w:val="0"/>
            <w:vAlign w:val="top"/>
          </w:tcPr>
          <w:p>
            <w:pPr>
              <w:spacing w:line="400" w:lineRule="exact"/>
              <w:rPr>
                <w:sz w:val="24"/>
              </w:rPr>
            </w:pPr>
            <w:r>
              <w:rPr>
                <w:sz w:val="24"/>
              </w:rPr>
              <w:t>按时参加律管部门</w:t>
            </w:r>
            <w:r>
              <w:rPr>
                <w:rFonts w:hint="eastAsia"/>
                <w:sz w:val="24"/>
                <w:lang w:eastAsia="zh-CN"/>
              </w:rPr>
              <w:t>、律师协会</w:t>
            </w:r>
            <w:r>
              <w:rPr>
                <w:sz w:val="24"/>
              </w:rPr>
              <w:t>组织的各种会议</w:t>
            </w:r>
            <w:r>
              <w:rPr>
                <w:rFonts w:hint="eastAsia"/>
                <w:sz w:val="24"/>
                <w:lang w:eastAsia="zh-CN"/>
              </w:rPr>
              <w:t>及活动</w:t>
            </w:r>
            <w:r>
              <w:rPr>
                <w:sz w:val="24"/>
              </w:rPr>
              <w:t>。</w:t>
            </w:r>
          </w:p>
        </w:tc>
        <w:tc>
          <w:tcPr>
            <w:tcW w:w="6065" w:type="dxa"/>
            <w:noWrap w:val="0"/>
            <w:vAlign w:val="top"/>
          </w:tcPr>
          <w:p>
            <w:pPr>
              <w:spacing w:line="600" w:lineRule="exact"/>
              <w:rPr>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1245" w:type="dxa"/>
            <w:tcBorders>
              <w:top w:val="single" w:color="auto" w:sz="4" w:space="0"/>
            </w:tcBorders>
            <w:noWrap w:val="0"/>
            <w:vAlign w:val="center"/>
          </w:tcPr>
          <w:p>
            <w:pPr>
              <w:spacing w:line="600" w:lineRule="exact"/>
              <w:jc w:val="center"/>
              <w:rPr>
                <w:rFonts w:eastAsia="黑体"/>
                <w:szCs w:val="32"/>
              </w:rPr>
            </w:pPr>
            <w:r>
              <w:rPr>
                <w:rFonts w:eastAsia="黑体"/>
                <w:szCs w:val="32"/>
              </w:rPr>
              <w:t>检查情况确认</w:t>
            </w:r>
          </w:p>
        </w:tc>
        <w:tc>
          <w:tcPr>
            <w:tcW w:w="12134" w:type="dxa"/>
            <w:gridSpan w:val="3"/>
            <w:tcBorders>
              <w:top w:val="single" w:color="auto" w:sz="4" w:space="0"/>
            </w:tcBorders>
            <w:noWrap w:val="0"/>
            <w:vAlign w:val="top"/>
          </w:tcPr>
          <w:p>
            <w:pPr>
              <w:spacing w:line="600" w:lineRule="exact"/>
              <w:rPr>
                <w:b/>
                <w:sz w:val="28"/>
                <w:szCs w:val="28"/>
              </w:rPr>
            </w:pPr>
            <w:r>
              <w:rPr>
                <w:b/>
                <w:sz w:val="28"/>
                <w:szCs w:val="28"/>
              </w:rPr>
              <w:t>以上检查情况与我所实际情况一致。</w:t>
            </w:r>
          </w:p>
          <w:p>
            <w:pPr>
              <w:wordWrap w:val="0"/>
              <w:spacing w:line="600" w:lineRule="exact"/>
              <w:ind w:right="840"/>
              <w:jc w:val="center"/>
              <w:rPr>
                <w:szCs w:val="21"/>
              </w:rPr>
            </w:pPr>
            <w:r>
              <w:rPr>
                <w:szCs w:val="21"/>
              </w:rPr>
              <w:t xml:space="preserve">            </w:t>
            </w:r>
          </w:p>
          <w:p>
            <w:pPr>
              <w:wordWrap w:val="0"/>
              <w:spacing w:line="600" w:lineRule="exact"/>
              <w:ind w:right="840"/>
              <w:jc w:val="center"/>
              <w:rPr>
                <w:szCs w:val="32"/>
              </w:rPr>
            </w:pPr>
            <w:r>
              <w:rPr>
                <w:szCs w:val="21"/>
              </w:rPr>
              <w:t xml:space="preserve"> </w:t>
            </w:r>
            <w:r>
              <w:rPr>
                <w:szCs w:val="32"/>
              </w:rPr>
              <w:t>律师事务所签名、盖章：</w:t>
            </w:r>
          </w:p>
          <w:p>
            <w:pPr>
              <w:spacing w:line="600" w:lineRule="exact"/>
              <w:rPr>
                <w:szCs w:val="21"/>
              </w:rPr>
            </w:pPr>
            <w:r>
              <w:rPr>
                <w:szCs w:val="32"/>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245" w:type="dxa"/>
            <w:tcBorders>
              <w:top w:val="single" w:color="auto" w:sz="4" w:space="0"/>
            </w:tcBorders>
            <w:noWrap w:val="0"/>
            <w:vAlign w:val="center"/>
          </w:tcPr>
          <w:p>
            <w:pPr>
              <w:spacing w:line="600" w:lineRule="exact"/>
              <w:jc w:val="center"/>
              <w:rPr>
                <w:rFonts w:eastAsia="黑体"/>
                <w:szCs w:val="32"/>
              </w:rPr>
            </w:pPr>
            <w:r>
              <w:rPr>
                <w:rFonts w:eastAsia="黑体"/>
                <w:szCs w:val="32"/>
              </w:rPr>
              <w:t>检查</w:t>
            </w:r>
            <w:r>
              <w:rPr>
                <w:rFonts w:hint="eastAsia" w:eastAsia="黑体"/>
                <w:szCs w:val="32"/>
              </w:rPr>
              <w:t>组</w:t>
            </w:r>
            <w:r>
              <w:rPr>
                <w:rFonts w:eastAsia="黑体"/>
                <w:szCs w:val="32"/>
              </w:rPr>
              <w:t>意见</w:t>
            </w:r>
          </w:p>
        </w:tc>
        <w:tc>
          <w:tcPr>
            <w:tcW w:w="12134" w:type="dxa"/>
            <w:gridSpan w:val="3"/>
            <w:tcBorders>
              <w:top w:val="single" w:color="auto" w:sz="4" w:space="0"/>
            </w:tcBorders>
            <w:noWrap w:val="0"/>
            <w:vAlign w:val="top"/>
          </w:tcPr>
          <w:p>
            <w:pPr>
              <w:spacing w:line="600" w:lineRule="exact"/>
              <w:rPr>
                <w:szCs w:val="21"/>
              </w:rPr>
            </w:pPr>
          </w:p>
          <w:p>
            <w:pPr>
              <w:spacing w:line="600" w:lineRule="exact"/>
              <w:rPr>
                <w:szCs w:val="21"/>
              </w:rPr>
            </w:pPr>
          </w:p>
          <w:p>
            <w:pPr>
              <w:spacing w:line="600" w:lineRule="exact"/>
              <w:jc w:val="left"/>
              <w:rPr>
                <w:szCs w:val="21"/>
              </w:rPr>
            </w:pPr>
            <w:r>
              <w:rPr>
                <w:sz w:val="28"/>
                <w:szCs w:val="28"/>
              </w:rPr>
              <w:t>检查组签名：                                                   日期：    年  月  日</w:t>
            </w:r>
          </w:p>
        </w:tc>
      </w:tr>
    </w:tbl>
    <w:p>
      <w:pPr>
        <w:pStyle w:val="17"/>
        <w:jc w:val="left"/>
        <w:rPr>
          <w:rFonts w:ascii="黑体" w:eastAsia="黑体"/>
          <w:sz w:val="32"/>
          <w:szCs w:val="32"/>
        </w:rPr>
      </w:pPr>
      <w:r>
        <w:rPr>
          <w:rFonts w:hint="eastAsia" w:ascii="黑体" w:eastAsia="黑体"/>
          <w:sz w:val="32"/>
          <w:szCs w:val="32"/>
        </w:rPr>
        <w:t>附件3</w:t>
      </w:r>
    </w:p>
    <w:p>
      <w:pPr>
        <w:jc w:val="center"/>
        <w:rPr>
          <w:rFonts w:ascii="方正小标宋简体" w:eastAsia="方正小标宋简体"/>
          <w:sz w:val="44"/>
          <w:szCs w:val="44"/>
        </w:rPr>
      </w:pPr>
      <w:r>
        <w:rPr>
          <w:rFonts w:hint="eastAsia" w:ascii="方正小标宋简体" w:eastAsia="方正小标宋简体"/>
          <w:sz w:val="44"/>
          <w:szCs w:val="44"/>
        </w:rPr>
        <w:t>东莞市司法局</w:t>
      </w:r>
      <w:r>
        <w:rPr>
          <w:rFonts w:hint="eastAsia" w:ascii="方正小标宋简体" w:eastAsia="方正小标宋简体"/>
          <w:sz w:val="44"/>
          <w:szCs w:val="44"/>
          <w:lang w:eastAsia="zh-CN"/>
        </w:rPr>
        <w:t>“双随机、一公开”</w:t>
      </w:r>
      <w:r>
        <w:rPr>
          <w:rFonts w:hint="eastAsia" w:ascii="方正小标宋简体" w:eastAsia="方正小标宋简体"/>
          <w:sz w:val="44"/>
          <w:szCs w:val="44"/>
        </w:rPr>
        <w:t>抽查表</w:t>
      </w:r>
    </w:p>
    <w:p>
      <w:pPr>
        <w:ind w:firstLine="2070" w:firstLineChars="1150"/>
        <w:rPr>
          <w:rFonts w:ascii="方正小标宋简体" w:eastAsia="方正小标宋简体"/>
          <w:sz w:val="18"/>
          <w:szCs w:val="18"/>
        </w:rPr>
      </w:pPr>
      <w:r>
        <w:rPr>
          <w:rFonts w:hint="eastAsia" w:ascii="方正小标宋简体" w:eastAsia="方正小标宋简体"/>
          <w:sz w:val="18"/>
          <w:szCs w:val="18"/>
        </w:rPr>
        <w:t xml:space="preserve">                                                                  </w:t>
      </w:r>
      <w:r>
        <w:rPr>
          <w:rFonts w:hint="eastAsia" w:ascii="仿宋_GB2312"/>
          <w:szCs w:val="32"/>
        </w:rPr>
        <w:t>抽查日期：     年    月   日</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4"/>
        <w:gridCol w:w="1336"/>
        <w:gridCol w:w="2239"/>
        <w:gridCol w:w="1493"/>
        <w:gridCol w:w="2239"/>
        <w:gridCol w:w="1995"/>
        <w:gridCol w:w="2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464" w:type="dxa"/>
            <w:vMerge w:val="restart"/>
            <w:tcBorders>
              <w:right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抽查对象</w:t>
            </w:r>
          </w:p>
          <w:p>
            <w:pPr>
              <w:jc w:val="center"/>
              <w:rPr>
                <w:rFonts w:ascii="仿宋_GB2312" w:hAnsi="Calibri"/>
                <w:sz w:val="28"/>
                <w:szCs w:val="28"/>
              </w:rPr>
            </w:pPr>
            <w:r>
              <w:rPr>
                <w:rFonts w:hint="eastAsia" w:ascii="仿宋_GB2312" w:hAnsi="Calibri"/>
                <w:sz w:val="28"/>
                <w:szCs w:val="28"/>
              </w:rPr>
              <w:t>基本情况</w:t>
            </w:r>
          </w:p>
        </w:tc>
        <w:tc>
          <w:tcPr>
            <w:tcW w:w="1336" w:type="dxa"/>
            <w:tcBorders>
              <w:left w:val="single" w:color="auto" w:sz="4" w:space="0"/>
              <w:bottom w:val="single" w:color="auto" w:sz="4" w:space="0"/>
              <w:right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律所名称</w:t>
            </w:r>
          </w:p>
        </w:tc>
        <w:tc>
          <w:tcPr>
            <w:tcW w:w="2239" w:type="dxa"/>
            <w:tcBorders>
              <w:left w:val="single" w:color="auto" w:sz="4" w:space="0"/>
              <w:bottom w:val="single" w:color="auto" w:sz="4" w:space="0"/>
            </w:tcBorders>
            <w:noWrap w:val="0"/>
            <w:vAlign w:val="center"/>
          </w:tcPr>
          <w:p>
            <w:pPr>
              <w:jc w:val="center"/>
              <w:rPr>
                <w:rFonts w:ascii="仿宋_GB2312" w:hAnsi="Calibri"/>
                <w:sz w:val="28"/>
                <w:szCs w:val="28"/>
              </w:rPr>
            </w:pPr>
          </w:p>
        </w:tc>
        <w:tc>
          <w:tcPr>
            <w:tcW w:w="1493" w:type="dxa"/>
            <w:tcBorders>
              <w:bottom w:val="single" w:color="auto" w:sz="4" w:space="0"/>
              <w:right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案号</w:t>
            </w:r>
          </w:p>
        </w:tc>
        <w:tc>
          <w:tcPr>
            <w:tcW w:w="2239" w:type="dxa"/>
            <w:tcBorders>
              <w:left w:val="single" w:color="auto" w:sz="4" w:space="0"/>
              <w:bottom w:val="single" w:color="auto" w:sz="4" w:space="0"/>
            </w:tcBorders>
            <w:noWrap w:val="0"/>
            <w:vAlign w:val="center"/>
          </w:tcPr>
          <w:p>
            <w:pPr>
              <w:jc w:val="center"/>
              <w:rPr>
                <w:rFonts w:ascii="仿宋_GB2312" w:hAnsi="Calibri"/>
                <w:sz w:val="28"/>
                <w:szCs w:val="28"/>
              </w:rPr>
            </w:pPr>
          </w:p>
        </w:tc>
        <w:tc>
          <w:tcPr>
            <w:tcW w:w="1995" w:type="dxa"/>
            <w:tcBorders>
              <w:left w:val="single" w:color="auto" w:sz="4" w:space="0"/>
              <w:bottom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档案号</w:t>
            </w:r>
          </w:p>
        </w:tc>
        <w:tc>
          <w:tcPr>
            <w:tcW w:w="2531" w:type="dxa"/>
            <w:tcBorders>
              <w:left w:val="single" w:color="auto" w:sz="4" w:space="0"/>
              <w:bottom w:val="single" w:color="auto" w:sz="4" w:space="0"/>
            </w:tcBorders>
            <w:noWrap w:val="0"/>
            <w:vAlign w:val="center"/>
          </w:tcPr>
          <w:p>
            <w:pPr>
              <w:jc w:val="center"/>
              <w:rPr>
                <w:rFonts w:ascii="仿宋_GB2312" w:hAnsi="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464" w:type="dxa"/>
            <w:vMerge w:val="continue"/>
            <w:tcBorders>
              <w:right w:val="single" w:color="auto" w:sz="4" w:space="0"/>
            </w:tcBorders>
            <w:noWrap w:val="0"/>
            <w:vAlign w:val="center"/>
          </w:tcPr>
          <w:p>
            <w:pPr>
              <w:jc w:val="center"/>
              <w:rPr>
                <w:rFonts w:ascii="仿宋_GB2312" w:hAnsi="Calibri"/>
                <w:sz w:val="28"/>
                <w:szCs w:val="28"/>
              </w:rPr>
            </w:pPr>
          </w:p>
        </w:tc>
        <w:tc>
          <w:tcPr>
            <w:tcW w:w="1336" w:type="dxa"/>
            <w:tcBorders>
              <w:top w:val="single" w:color="auto" w:sz="4" w:space="0"/>
              <w:left w:val="single" w:color="auto" w:sz="4" w:space="0"/>
              <w:right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组织形式</w:t>
            </w:r>
          </w:p>
        </w:tc>
        <w:tc>
          <w:tcPr>
            <w:tcW w:w="2239" w:type="dxa"/>
            <w:tcBorders>
              <w:top w:val="single" w:color="auto" w:sz="4" w:space="0"/>
              <w:left w:val="single" w:color="auto" w:sz="4" w:space="0"/>
              <w:right w:val="single" w:color="auto" w:sz="4" w:space="0"/>
            </w:tcBorders>
            <w:noWrap w:val="0"/>
            <w:vAlign w:val="center"/>
          </w:tcPr>
          <w:p>
            <w:pPr>
              <w:jc w:val="center"/>
              <w:rPr>
                <w:rFonts w:ascii="仿宋_GB2312" w:hAnsi="Calibri"/>
                <w:sz w:val="28"/>
                <w:szCs w:val="28"/>
              </w:rPr>
            </w:pPr>
          </w:p>
        </w:tc>
        <w:tc>
          <w:tcPr>
            <w:tcW w:w="1493" w:type="dxa"/>
            <w:tcBorders>
              <w:top w:val="single" w:color="auto" w:sz="4" w:space="0"/>
              <w:left w:val="single" w:color="auto" w:sz="4" w:space="0"/>
              <w:right w:val="single" w:color="auto" w:sz="4" w:space="0"/>
            </w:tcBorders>
            <w:noWrap w:val="0"/>
            <w:vAlign w:val="center"/>
          </w:tcPr>
          <w:p>
            <w:pPr>
              <w:ind w:firstLine="280" w:firstLineChars="100"/>
              <w:rPr>
                <w:rFonts w:ascii="仿宋_GB2312" w:hAnsi="Calibri"/>
                <w:sz w:val="28"/>
                <w:szCs w:val="28"/>
              </w:rPr>
            </w:pPr>
            <w:r>
              <w:rPr>
                <w:rFonts w:hint="eastAsia" w:ascii="仿宋_GB2312" w:hAnsi="Calibri"/>
                <w:sz w:val="28"/>
                <w:szCs w:val="28"/>
              </w:rPr>
              <w:t>负责人</w:t>
            </w:r>
          </w:p>
        </w:tc>
        <w:tc>
          <w:tcPr>
            <w:tcW w:w="2239" w:type="dxa"/>
            <w:tcBorders>
              <w:top w:val="single" w:color="auto" w:sz="4" w:space="0"/>
              <w:left w:val="single" w:color="auto" w:sz="4" w:space="0"/>
              <w:right w:val="single" w:color="auto" w:sz="4" w:space="0"/>
            </w:tcBorders>
            <w:noWrap w:val="0"/>
            <w:vAlign w:val="center"/>
          </w:tcPr>
          <w:p>
            <w:pPr>
              <w:rPr>
                <w:rFonts w:ascii="仿宋_GB2312" w:hAnsi="Calibri"/>
                <w:sz w:val="28"/>
                <w:szCs w:val="28"/>
              </w:rPr>
            </w:pPr>
          </w:p>
        </w:tc>
        <w:tc>
          <w:tcPr>
            <w:tcW w:w="1995" w:type="dxa"/>
            <w:tcBorders>
              <w:top w:val="single" w:color="auto" w:sz="4" w:space="0"/>
              <w:left w:val="single" w:color="auto" w:sz="4" w:space="0"/>
              <w:right w:val="single" w:color="auto" w:sz="4" w:space="0"/>
            </w:tcBorders>
            <w:noWrap w:val="0"/>
            <w:vAlign w:val="center"/>
          </w:tcPr>
          <w:p>
            <w:pPr>
              <w:ind w:firstLine="280" w:firstLineChars="100"/>
              <w:rPr>
                <w:rFonts w:hint="eastAsia" w:ascii="仿宋_GB2312" w:hAnsi="Calibri" w:eastAsia="仿宋_GB2312"/>
                <w:sz w:val="28"/>
                <w:szCs w:val="28"/>
                <w:lang w:eastAsia="zh-CN"/>
              </w:rPr>
            </w:pPr>
            <w:r>
              <w:rPr>
                <w:rFonts w:hint="eastAsia" w:ascii="仿宋_GB2312" w:hAnsi="Calibri"/>
                <w:sz w:val="28"/>
                <w:szCs w:val="28"/>
                <w:lang w:eastAsia="zh-CN"/>
              </w:rPr>
              <w:t>承办律师</w:t>
            </w:r>
          </w:p>
        </w:tc>
        <w:tc>
          <w:tcPr>
            <w:tcW w:w="2531" w:type="dxa"/>
            <w:tcBorders>
              <w:top w:val="single" w:color="auto" w:sz="4" w:space="0"/>
              <w:left w:val="single" w:color="auto" w:sz="4" w:space="0"/>
            </w:tcBorders>
            <w:noWrap w:val="0"/>
            <w:vAlign w:val="center"/>
          </w:tcPr>
          <w:p>
            <w:pPr>
              <w:rPr>
                <w:rFonts w:ascii="仿宋_GB2312" w:hAnsi="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6" w:hRule="atLeast"/>
        </w:trPr>
        <w:tc>
          <w:tcPr>
            <w:tcW w:w="1464" w:type="dxa"/>
            <w:tcBorders>
              <w:right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检查内容及</w:t>
            </w:r>
          </w:p>
          <w:p>
            <w:pPr>
              <w:jc w:val="center"/>
              <w:rPr>
                <w:rFonts w:ascii="仿宋_GB2312" w:hAnsi="Calibri"/>
                <w:sz w:val="28"/>
                <w:szCs w:val="28"/>
              </w:rPr>
            </w:pPr>
            <w:r>
              <w:rPr>
                <w:rFonts w:hint="eastAsia" w:ascii="仿宋_GB2312" w:hAnsi="Calibri"/>
                <w:sz w:val="28"/>
                <w:szCs w:val="28"/>
              </w:rPr>
              <w:t>实况</w:t>
            </w:r>
          </w:p>
        </w:tc>
        <w:tc>
          <w:tcPr>
            <w:tcW w:w="11833" w:type="dxa"/>
            <w:gridSpan w:val="6"/>
            <w:tcBorders>
              <w:left w:val="single" w:color="auto" w:sz="4" w:space="0"/>
            </w:tcBorders>
            <w:noWrap w:val="0"/>
            <w:vAlign w:val="top"/>
          </w:tcPr>
          <w:p>
            <w:pPr>
              <w:pStyle w:val="16"/>
              <w:numPr>
                <w:ilvl w:val="0"/>
                <w:numId w:val="1"/>
              </w:numPr>
              <w:ind w:firstLineChars="0"/>
              <w:rPr>
                <w:rFonts w:ascii="仿宋_GB2312" w:hAnsi="Calibri"/>
              </w:rPr>
            </w:pPr>
            <w:r>
              <w:rPr>
                <w:rFonts w:hint="eastAsia" w:ascii="仿宋_GB2312" w:hAnsi="Calibri"/>
              </w:rPr>
              <w:t>是否归档？如没有归档，档案在哪？（三天内提交专门文字说明）</w:t>
            </w:r>
          </w:p>
          <w:p>
            <w:pPr>
              <w:pStyle w:val="16"/>
              <w:ind w:firstLine="0" w:firstLineChars="0"/>
              <w:rPr>
                <w:rFonts w:ascii="仿宋_GB2312" w:hAnsi="Calibri"/>
              </w:rPr>
            </w:pPr>
            <w:r>
              <w:rPr>
                <w:rFonts w:hint="eastAsia" w:ascii="仿宋_GB2312" w:hAnsi="Calibri"/>
              </w:rPr>
              <w:t>真实情况：</w:t>
            </w:r>
          </w:p>
          <w:p>
            <w:pPr>
              <w:pStyle w:val="16"/>
              <w:ind w:firstLine="0" w:firstLineChars="0"/>
              <w:rPr>
                <w:rFonts w:ascii="仿宋_GB2312" w:hAnsi="Calibri"/>
              </w:rPr>
            </w:pPr>
          </w:p>
          <w:p>
            <w:pPr>
              <w:pStyle w:val="16"/>
              <w:numPr>
                <w:ilvl w:val="0"/>
                <w:numId w:val="1"/>
              </w:numPr>
              <w:ind w:firstLineChars="0"/>
              <w:rPr>
                <w:rFonts w:ascii="仿宋_GB2312" w:hAnsi="Calibri"/>
              </w:rPr>
            </w:pPr>
            <w:r>
              <w:rPr>
                <w:rFonts w:hint="eastAsia" w:ascii="仿宋_GB2312" w:hAnsi="Calibri"/>
              </w:rPr>
              <w:t>如归档，是否及时归档？（收到法院判决书之日起三个月立卷归档）</w:t>
            </w:r>
          </w:p>
          <w:p>
            <w:pPr>
              <w:pStyle w:val="16"/>
              <w:ind w:firstLine="0" w:firstLineChars="0"/>
              <w:rPr>
                <w:rFonts w:ascii="仿宋_GB2312" w:hAnsi="Calibri"/>
              </w:rPr>
            </w:pPr>
            <w:r>
              <w:rPr>
                <w:rFonts w:hint="eastAsia" w:ascii="仿宋_GB2312" w:hAnsi="Calibri"/>
              </w:rPr>
              <w:t>真实情况：</w:t>
            </w:r>
          </w:p>
          <w:p>
            <w:pPr>
              <w:pStyle w:val="16"/>
              <w:ind w:firstLine="0" w:firstLineChars="0"/>
              <w:rPr>
                <w:rFonts w:ascii="仿宋_GB2312" w:hAnsi="Calibri"/>
              </w:rPr>
            </w:pPr>
          </w:p>
          <w:p>
            <w:pPr>
              <w:pStyle w:val="16"/>
              <w:numPr>
                <w:ilvl w:val="0"/>
                <w:numId w:val="1"/>
              </w:numPr>
              <w:ind w:firstLineChars="0"/>
              <w:rPr>
                <w:rFonts w:ascii="仿宋_GB2312" w:hAnsi="Calibri"/>
              </w:rPr>
            </w:pPr>
            <w:r>
              <w:rPr>
                <w:rFonts w:hint="eastAsia" w:ascii="仿宋_GB2312" w:hAnsi="Calibri"/>
              </w:rPr>
              <w:t>案件在收结案登记本上记载的要素是否详细，能否对应？（参照律管科发布的表格）</w:t>
            </w:r>
          </w:p>
          <w:p>
            <w:pPr>
              <w:pStyle w:val="16"/>
              <w:ind w:firstLine="0" w:firstLineChars="0"/>
              <w:rPr>
                <w:rFonts w:ascii="仿宋_GB2312" w:hAnsi="Calibri"/>
              </w:rPr>
            </w:pPr>
            <w:r>
              <w:rPr>
                <w:rFonts w:hint="eastAsia" w:ascii="仿宋_GB2312" w:hAnsi="Calibri"/>
              </w:rPr>
              <w:t>真实情况：</w:t>
            </w:r>
          </w:p>
          <w:p>
            <w:pPr>
              <w:pStyle w:val="16"/>
              <w:ind w:firstLine="0" w:firstLineChars="0"/>
              <w:rPr>
                <w:rFonts w:ascii="仿宋_GB2312" w:hAnsi="Calibri"/>
              </w:rPr>
            </w:pPr>
          </w:p>
          <w:p>
            <w:pPr>
              <w:pStyle w:val="16"/>
              <w:numPr>
                <w:ilvl w:val="0"/>
                <w:numId w:val="1"/>
              </w:numPr>
              <w:ind w:firstLineChars="0"/>
              <w:rPr>
                <w:rFonts w:ascii="仿宋_GB2312" w:hAnsi="Calibri"/>
              </w:rPr>
            </w:pPr>
            <w:r>
              <w:rPr>
                <w:rFonts w:hint="eastAsia" w:ascii="仿宋_GB2312" w:hAnsi="Calibri"/>
              </w:rPr>
              <w:t>卷宗是否有立案审批表、委托代理合同、授权委托书、收费发票、判决书（裁定书）、</w:t>
            </w:r>
          </w:p>
          <w:p>
            <w:pPr>
              <w:pStyle w:val="16"/>
              <w:ind w:firstLine="0" w:firstLineChars="0"/>
              <w:rPr>
                <w:rFonts w:ascii="仿宋_GB2312" w:hAnsi="Calibri"/>
              </w:rPr>
            </w:pPr>
            <w:r>
              <w:rPr>
                <w:rFonts w:hint="eastAsia" w:ascii="仿宋_GB2312" w:hAnsi="Calibri"/>
              </w:rPr>
              <w:t>结案审批表等基本要素？如果少，少哪些要素？</w:t>
            </w:r>
          </w:p>
          <w:p>
            <w:pPr>
              <w:pStyle w:val="16"/>
              <w:ind w:firstLine="0" w:firstLineChars="0"/>
              <w:rPr>
                <w:rFonts w:ascii="仿宋_GB2312" w:hAnsi="Calibri"/>
              </w:rPr>
            </w:pPr>
            <w:r>
              <w:rPr>
                <w:rFonts w:hint="eastAsia" w:ascii="仿宋_GB2312" w:hAnsi="Calibri"/>
              </w:rPr>
              <w:t>真实情况：</w:t>
            </w:r>
          </w:p>
          <w:p>
            <w:pPr>
              <w:pStyle w:val="16"/>
              <w:ind w:firstLine="0" w:firstLineChars="0"/>
              <w:rPr>
                <w:rFonts w:ascii="仿宋_GB2312" w:hAnsi="Calibri"/>
              </w:rPr>
            </w:pPr>
          </w:p>
          <w:p>
            <w:pPr>
              <w:pStyle w:val="16"/>
              <w:numPr>
                <w:ilvl w:val="0"/>
                <w:numId w:val="2"/>
              </w:numPr>
              <w:ind w:firstLineChars="0"/>
              <w:rPr>
                <w:rFonts w:ascii="仿宋_GB2312" w:hAnsi="Calibri"/>
              </w:rPr>
            </w:pPr>
            <w:r>
              <w:rPr>
                <w:rFonts w:hint="eastAsia" w:ascii="仿宋_GB2312" w:hAnsi="Calibri"/>
              </w:rPr>
              <w:t>审批表签名是否完整？</w:t>
            </w:r>
          </w:p>
          <w:p>
            <w:pPr>
              <w:pStyle w:val="16"/>
              <w:ind w:firstLine="0" w:firstLineChars="0"/>
              <w:rPr>
                <w:rFonts w:ascii="仿宋_GB2312" w:hAnsi="Calibri"/>
              </w:rPr>
            </w:pPr>
            <w:r>
              <w:rPr>
                <w:rFonts w:hint="eastAsia" w:ascii="仿宋_GB2312" w:hAnsi="Calibri"/>
              </w:rPr>
              <w:t>真实情况：</w:t>
            </w:r>
          </w:p>
          <w:p>
            <w:pPr>
              <w:pStyle w:val="16"/>
              <w:ind w:left="720" w:firstLine="0" w:firstLineChars="0"/>
              <w:rPr>
                <w:rFonts w:ascii="仿宋_GB2312" w:hAnsi="Calibri"/>
              </w:rPr>
            </w:pPr>
          </w:p>
          <w:p>
            <w:pPr>
              <w:pStyle w:val="16"/>
              <w:numPr>
                <w:ilvl w:val="0"/>
                <w:numId w:val="2"/>
              </w:numPr>
              <w:ind w:firstLineChars="0"/>
              <w:rPr>
                <w:rFonts w:ascii="仿宋_GB2312" w:hAnsi="Calibri"/>
              </w:rPr>
            </w:pPr>
            <w:r>
              <w:rPr>
                <w:rFonts w:hint="eastAsia" w:ascii="仿宋_GB2312" w:hAnsi="Calibri"/>
              </w:rPr>
              <w:t>是否有利益冲突审查栏、是否填写齐全？</w:t>
            </w:r>
          </w:p>
          <w:p>
            <w:pPr>
              <w:pStyle w:val="16"/>
              <w:ind w:firstLine="0" w:firstLineChars="0"/>
              <w:rPr>
                <w:rFonts w:ascii="仿宋_GB2312" w:hAnsi="Calibri"/>
              </w:rPr>
            </w:pPr>
            <w:r>
              <w:rPr>
                <w:rFonts w:hint="eastAsia" w:ascii="仿宋_GB2312" w:hAnsi="Calibri"/>
              </w:rPr>
              <w:t>真实情况：</w:t>
            </w:r>
          </w:p>
          <w:p>
            <w:pPr>
              <w:pStyle w:val="16"/>
              <w:numPr>
                <w:ilvl w:val="0"/>
                <w:numId w:val="2"/>
              </w:numPr>
              <w:ind w:firstLineChars="0"/>
              <w:rPr>
                <w:rFonts w:ascii="仿宋_GB2312" w:hAnsi="Calibri"/>
              </w:rPr>
            </w:pPr>
            <w:r>
              <w:rPr>
                <w:rFonts w:hint="eastAsia" w:ascii="仿宋_GB2312" w:hAnsi="Calibri"/>
              </w:rPr>
              <w:t>档案室建设是否符合存放律师业务档案的房屋应坚实、防火、防盗、防潮、防高温、</w:t>
            </w:r>
          </w:p>
          <w:p>
            <w:pPr>
              <w:pStyle w:val="16"/>
              <w:ind w:firstLine="0" w:firstLineChars="0"/>
              <w:rPr>
                <w:rFonts w:ascii="仿宋_GB2312" w:hAnsi="Calibri"/>
              </w:rPr>
            </w:pPr>
            <w:r>
              <w:rPr>
                <w:rFonts w:hint="eastAsia" w:ascii="仿宋_GB2312" w:hAnsi="Calibri"/>
              </w:rPr>
              <w:t>防鼠、防虫、防光、防污染，室内要保持清洁、整齐、通风的规定？如不符，问题在哪？</w:t>
            </w:r>
          </w:p>
          <w:p>
            <w:pPr>
              <w:pStyle w:val="16"/>
              <w:ind w:firstLine="0" w:firstLineChars="0"/>
              <w:rPr>
                <w:rFonts w:ascii="仿宋_GB2312" w:hAnsi="Calibri"/>
              </w:rPr>
            </w:pPr>
            <w:r>
              <w:rPr>
                <w:rFonts w:hint="eastAsia" w:ascii="仿宋_GB2312" w:hAnsi="Calibri"/>
              </w:rPr>
              <w:t>真实情况：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1464" w:type="dxa"/>
            <w:tcBorders>
              <w:bottom w:val="single" w:color="auto" w:sz="4" w:space="0"/>
              <w:right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检查</w:t>
            </w:r>
          </w:p>
          <w:p>
            <w:pPr>
              <w:jc w:val="center"/>
              <w:rPr>
                <w:rFonts w:ascii="仿宋_GB2312" w:hAnsi="Calibri"/>
                <w:sz w:val="28"/>
                <w:szCs w:val="28"/>
              </w:rPr>
            </w:pPr>
            <w:r>
              <w:rPr>
                <w:rFonts w:hint="eastAsia" w:ascii="仿宋_GB2312" w:hAnsi="Calibri"/>
                <w:sz w:val="28"/>
                <w:szCs w:val="28"/>
              </w:rPr>
              <w:t>情况</w:t>
            </w:r>
          </w:p>
          <w:p>
            <w:pPr>
              <w:jc w:val="center"/>
              <w:rPr>
                <w:rFonts w:ascii="仿宋_GB2312" w:hAnsi="Calibri"/>
                <w:sz w:val="28"/>
                <w:szCs w:val="28"/>
              </w:rPr>
            </w:pPr>
            <w:r>
              <w:rPr>
                <w:rFonts w:hint="eastAsia" w:ascii="仿宋_GB2312" w:hAnsi="Calibri"/>
                <w:sz w:val="28"/>
                <w:szCs w:val="28"/>
              </w:rPr>
              <w:t>确认</w:t>
            </w:r>
          </w:p>
        </w:tc>
        <w:tc>
          <w:tcPr>
            <w:tcW w:w="11833" w:type="dxa"/>
            <w:gridSpan w:val="6"/>
            <w:tcBorders>
              <w:left w:val="single" w:color="auto" w:sz="4" w:space="0"/>
              <w:bottom w:val="single" w:color="auto" w:sz="4" w:space="0"/>
            </w:tcBorders>
            <w:noWrap w:val="0"/>
            <w:vAlign w:val="center"/>
          </w:tcPr>
          <w:p>
            <w:pPr>
              <w:rPr>
                <w:rFonts w:ascii="仿宋_GB2312" w:hAnsi="Calibri"/>
                <w:sz w:val="28"/>
                <w:szCs w:val="28"/>
              </w:rPr>
            </w:pPr>
            <w:r>
              <w:rPr>
                <w:rFonts w:hint="eastAsia" w:ascii="仿宋_GB2312" w:hAnsi="Calibri"/>
                <w:sz w:val="28"/>
                <w:szCs w:val="28"/>
              </w:rPr>
              <w:t>以上检查情况与我所实际情况一致。</w:t>
            </w:r>
          </w:p>
          <w:p>
            <w:pPr>
              <w:jc w:val="center"/>
              <w:rPr>
                <w:rFonts w:ascii="仿宋_GB2312" w:hAnsi="Calibri"/>
                <w:sz w:val="28"/>
                <w:szCs w:val="28"/>
              </w:rPr>
            </w:pPr>
            <w:r>
              <w:rPr>
                <w:rFonts w:hint="eastAsia" w:ascii="仿宋_GB2312" w:hAnsi="Calibri"/>
                <w:sz w:val="28"/>
                <w:szCs w:val="28"/>
              </w:rPr>
              <w:t>律师事务所签名、盖章：</w:t>
            </w:r>
          </w:p>
          <w:p>
            <w:pPr>
              <w:jc w:val="center"/>
              <w:rPr>
                <w:rFonts w:ascii="仿宋_GB2312" w:hAnsi="Calibri"/>
                <w:sz w:val="28"/>
                <w:szCs w:val="28"/>
              </w:rPr>
            </w:pPr>
            <w:r>
              <w:rPr>
                <w:rFonts w:hint="eastAsia" w:ascii="仿宋_GB2312" w:hAnsi="Calibri"/>
                <w:sz w:val="28"/>
                <w:szCs w:val="28"/>
              </w:rPr>
              <w:t xml:space="preserve">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464" w:type="dxa"/>
            <w:tcBorders>
              <w:top w:val="single" w:color="auto" w:sz="4" w:space="0"/>
              <w:right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执法人员：</w:t>
            </w:r>
          </w:p>
        </w:tc>
        <w:tc>
          <w:tcPr>
            <w:tcW w:w="11833" w:type="dxa"/>
            <w:gridSpan w:val="6"/>
            <w:tcBorders>
              <w:top w:val="single" w:color="auto" w:sz="4" w:space="0"/>
              <w:left w:val="single" w:color="auto" w:sz="4" w:space="0"/>
            </w:tcBorders>
            <w:noWrap w:val="0"/>
            <w:vAlign w:val="top"/>
          </w:tcPr>
          <w:p>
            <w:pPr>
              <w:rPr>
                <w:rFonts w:ascii="仿宋_GB2312" w:hAnsi="Calibri"/>
                <w:sz w:val="28"/>
                <w:szCs w:val="28"/>
              </w:rPr>
            </w:pPr>
          </w:p>
        </w:tc>
      </w:tr>
    </w:tbl>
    <w:p>
      <w:pPr>
        <w:pStyle w:val="17"/>
        <w:jc w:val="both"/>
        <w:sectPr>
          <w:footerReference r:id="rId3" w:type="default"/>
          <w:pgSz w:w="16838" w:h="11906" w:orient="landscape"/>
          <w:pgMar w:top="1588" w:right="1786" w:bottom="1474" w:left="1786" w:header="851" w:footer="992" w:gutter="0"/>
          <w:cols w:space="720" w:num="1"/>
          <w:titlePg/>
          <w:docGrid w:type="linesAndChars" w:linePitch="312" w:charSpace="0"/>
        </w:sectPr>
      </w:pPr>
    </w:p>
    <w:p>
      <w:pPr>
        <w:jc w:val="right"/>
      </w:pPr>
    </w:p>
    <w:sectPr>
      <w:headerReference r:id="rId6" w:type="first"/>
      <w:footerReference r:id="rId9" w:type="first"/>
      <w:headerReference r:id="rId4" w:type="default"/>
      <w:footerReference r:id="rId7" w:type="default"/>
      <w:headerReference r:id="rId5" w:type="even"/>
      <w:footerReference r:id="rId8" w:type="even"/>
      <w:pgSz w:w="11906" w:h="16838"/>
      <w:pgMar w:top="1786" w:right="1474" w:bottom="1786"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00"/>
    <w:family w:val="modern"/>
    <w:pitch w:val="default"/>
    <w:sig w:usb0="00000000" w:usb1="00000000" w:usb2="00000000" w:usb3="00000000" w:csb0="00000000" w:csb1="00000000"/>
  </w:font>
  <w:font w:name="Cambria">
    <w:panose1 w:val="02040803050406030204"/>
    <w:charset w:val="00"/>
    <w:family w:val="roman"/>
    <w:pitch w:val="default"/>
    <w:sig w:usb0="E00002FF" w:usb1="4000045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eastAsia="宋体"/>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5"/>
                      <w:rPr>
                        <w:rFonts w:eastAsia="宋体"/>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zh-CN"/>
      </w:rPr>
      <w:t>[键入文字]</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D2ABC"/>
    <w:multiLevelType w:val="multilevel"/>
    <w:tmpl w:val="420D2ABC"/>
    <w:lvl w:ilvl="0" w:tentative="0">
      <w:start w:val="5"/>
      <w:numFmt w:val="decimalFullWidth"/>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512413"/>
    <w:multiLevelType w:val="multilevel"/>
    <w:tmpl w:val="7051241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13644"/>
    <w:rsid w:val="00037E35"/>
    <w:rsid w:val="000C3F51"/>
    <w:rsid w:val="000C4D46"/>
    <w:rsid w:val="000E21F3"/>
    <w:rsid w:val="001869D0"/>
    <w:rsid w:val="001E33FD"/>
    <w:rsid w:val="00210BF6"/>
    <w:rsid w:val="00231185"/>
    <w:rsid w:val="003813C0"/>
    <w:rsid w:val="003E520E"/>
    <w:rsid w:val="004B2BF8"/>
    <w:rsid w:val="004E6211"/>
    <w:rsid w:val="00596ECD"/>
    <w:rsid w:val="005F05F6"/>
    <w:rsid w:val="00645D6D"/>
    <w:rsid w:val="006C3492"/>
    <w:rsid w:val="00763156"/>
    <w:rsid w:val="00843A3A"/>
    <w:rsid w:val="008D2502"/>
    <w:rsid w:val="009B59BE"/>
    <w:rsid w:val="00C97E05"/>
    <w:rsid w:val="00CD1CA6"/>
    <w:rsid w:val="00CD55BA"/>
    <w:rsid w:val="00D452F5"/>
    <w:rsid w:val="00D613BA"/>
    <w:rsid w:val="00DC210F"/>
    <w:rsid w:val="00E34BBF"/>
    <w:rsid w:val="00E50BB1"/>
    <w:rsid w:val="0C9C45C5"/>
    <w:rsid w:val="1289240E"/>
    <w:rsid w:val="1EB13644"/>
    <w:rsid w:val="1FFA9F9A"/>
    <w:rsid w:val="23C52DAB"/>
    <w:rsid w:val="27FD99B0"/>
    <w:rsid w:val="2D097B92"/>
    <w:rsid w:val="2E7FACD7"/>
    <w:rsid w:val="2FE5FE50"/>
    <w:rsid w:val="30A7084D"/>
    <w:rsid w:val="321F18EA"/>
    <w:rsid w:val="3B1F03E8"/>
    <w:rsid w:val="3C0ED596"/>
    <w:rsid w:val="3F7F1E31"/>
    <w:rsid w:val="3FB5E5BB"/>
    <w:rsid w:val="3FDC7D9F"/>
    <w:rsid w:val="3FFFEB8A"/>
    <w:rsid w:val="451F6A56"/>
    <w:rsid w:val="4C005F31"/>
    <w:rsid w:val="4EB47FB3"/>
    <w:rsid w:val="575830DC"/>
    <w:rsid w:val="57FFB16D"/>
    <w:rsid w:val="5B5CA43F"/>
    <w:rsid w:val="5BD79904"/>
    <w:rsid w:val="5BEE77E9"/>
    <w:rsid w:val="5D7779AA"/>
    <w:rsid w:val="5E37EB0B"/>
    <w:rsid w:val="5FE3FF97"/>
    <w:rsid w:val="6FBD2BC3"/>
    <w:rsid w:val="6FFF9017"/>
    <w:rsid w:val="72BB1D83"/>
    <w:rsid w:val="73FB988F"/>
    <w:rsid w:val="77FF62B3"/>
    <w:rsid w:val="782F72F2"/>
    <w:rsid w:val="791D3A69"/>
    <w:rsid w:val="797DBEAB"/>
    <w:rsid w:val="7BE6BD12"/>
    <w:rsid w:val="7BFA585A"/>
    <w:rsid w:val="7BFB1112"/>
    <w:rsid w:val="7D5D75E6"/>
    <w:rsid w:val="7DCD1FD0"/>
    <w:rsid w:val="7F1708BC"/>
    <w:rsid w:val="7F609436"/>
    <w:rsid w:val="7F7D2EF2"/>
    <w:rsid w:val="7FDFD79F"/>
    <w:rsid w:val="7FED8292"/>
    <w:rsid w:val="7FF9F962"/>
    <w:rsid w:val="85BFB286"/>
    <w:rsid w:val="9DA58915"/>
    <w:rsid w:val="A2BD2CB6"/>
    <w:rsid w:val="ABBEAF82"/>
    <w:rsid w:val="AE1B5F8F"/>
    <w:rsid w:val="AFF3017A"/>
    <w:rsid w:val="BD4FF2C5"/>
    <w:rsid w:val="BE7BE109"/>
    <w:rsid w:val="BEDF38D6"/>
    <w:rsid w:val="BFECB610"/>
    <w:rsid w:val="D574BF7F"/>
    <w:rsid w:val="DB53A0A1"/>
    <w:rsid w:val="DBFCE725"/>
    <w:rsid w:val="DBFFD879"/>
    <w:rsid w:val="DE364B8E"/>
    <w:rsid w:val="DF978EE4"/>
    <w:rsid w:val="DFBBEBAD"/>
    <w:rsid w:val="DFCFE88F"/>
    <w:rsid w:val="E2BDE096"/>
    <w:rsid w:val="E7BF48C7"/>
    <w:rsid w:val="EDDFC7A8"/>
    <w:rsid w:val="EEBBE2AE"/>
    <w:rsid w:val="EEF630FC"/>
    <w:rsid w:val="EEF7A976"/>
    <w:rsid w:val="EFEB253A"/>
    <w:rsid w:val="F0F78CB0"/>
    <w:rsid w:val="F75D0E47"/>
    <w:rsid w:val="F7B78D2B"/>
    <w:rsid w:val="F7EF8D05"/>
    <w:rsid w:val="F9DF805A"/>
    <w:rsid w:val="FBFB90FB"/>
    <w:rsid w:val="FDC27771"/>
    <w:rsid w:val="FDFF0D10"/>
    <w:rsid w:val="FF7A617A"/>
    <w:rsid w:val="FFEC469F"/>
    <w:rsid w:val="FFFD710F"/>
    <w:rsid w:val="FFFE41FF"/>
    <w:rsid w:val="FFFF0E89"/>
    <w:rsid w:val="FFFF4C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adjustRightInd w:val="0"/>
      <w:spacing w:line="580" w:lineRule="atLeast"/>
      <w:jc w:val="center"/>
      <w:textAlignment w:val="baseline"/>
      <w:outlineLvl w:val="0"/>
    </w:pPr>
    <w:rPr>
      <w:rFonts w:eastAsia="华康简标题宋"/>
      <w:kern w:val="44"/>
      <w:sz w:val="36"/>
      <w:szCs w:val="20"/>
    </w:rPr>
  </w:style>
  <w:style w:type="paragraph" w:styleId="3">
    <w:name w:val="heading 2"/>
    <w:basedOn w:val="1"/>
    <w:next w:val="1"/>
    <w:link w:val="11"/>
    <w:qFormat/>
    <w:uiPriority w:val="0"/>
    <w:pPr>
      <w:keepNext/>
      <w:keepLines/>
      <w:spacing w:before="260" w:after="260" w:line="416" w:lineRule="auto"/>
      <w:outlineLvl w:val="1"/>
    </w:pPr>
    <w:rPr>
      <w:rFonts w:ascii="Cambria" w:hAnsi="Cambria" w:eastAsia="宋体"/>
      <w:b/>
      <w:bCs/>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qFormat/>
    <w:uiPriority w:val="0"/>
    <w:rPr>
      <w:rFonts w:ascii="Times New Roman" w:hAnsi="Times New Roman" w:eastAsia="宋体" w:cs="Times New Roman"/>
      <w:sz w:val="24"/>
      <w:szCs w:val="22"/>
      <w:lang w:val="en-US" w:eastAsia="zh-CN" w:bidi="ar-SA"/>
    </w:rPr>
  </w:style>
  <w:style w:type="table" w:styleId="9">
    <w:name w:val="Table Grid"/>
    <w:basedOn w:val="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标题 2 Char"/>
    <w:basedOn w:val="10"/>
    <w:link w:val="3"/>
    <w:semiHidden/>
    <w:qFormat/>
    <w:uiPriority w:val="0"/>
    <w:rPr>
      <w:rFonts w:ascii="Cambria" w:hAnsi="Cambria" w:eastAsia="宋体" w:cs="Times New Roman"/>
      <w:b/>
      <w:bCs/>
      <w:kern w:val="2"/>
      <w:sz w:val="32"/>
      <w:szCs w:val="32"/>
    </w:rPr>
  </w:style>
  <w:style w:type="character" w:customStyle="1" w:styleId="12">
    <w:name w:val="批注框文本 Char"/>
    <w:basedOn w:val="10"/>
    <w:link w:val="4"/>
    <w:qFormat/>
    <w:uiPriority w:val="0"/>
    <w:rPr>
      <w:rFonts w:eastAsia="仿宋_GB2312"/>
      <w:kern w:val="2"/>
      <w:sz w:val="18"/>
      <w:szCs w:val="18"/>
    </w:rPr>
  </w:style>
  <w:style w:type="character" w:customStyle="1" w:styleId="13">
    <w:name w:val="页脚 Char"/>
    <w:basedOn w:val="10"/>
    <w:link w:val="5"/>
    <w:qFormat/>
    <w:uiPriority w:val="99"/>
    <w:rPr>
      <w:rFonts w:eastAsia="仿宋_GB2312"/>
      <w:kern w:val="2"/>
      <w:sz w:val="18"/>
      <w:szCs w:val="24"/>
    </w:rPr>
  </w:style>
  <w:style w:type="character" w:customStyle="1" w:styleId="14">
    <w:name w:val="排版黑体 Char"/>
    <w:link w:val="15"/>
    <w:qFormat/>
    <w:uiPriority w:val="0"/>
    <w:rPr>
      <w:rFonts w:eastAsia="黑体"/>
      <w:sz w:val="32"/>
    </w:rPr>
  </w:style>
  <w:style w:type="paragraph" w:customStyle="1" w:styleId="15">
    <w:name w:val="排版黑体"/>
    <w:basedOn w:val="16"/>
    <w:link w:val="14"/>
    <w:qFormat/>
    <w:uiPriority w:val="0"/>
    <w:pPr>
      <w:ind w:firstLine="640"/>
    </w:pPr>
    <w:rPr>
      <w:rFonts w:eastAsia="黑体"/>
      <w:kern w:val="0"/>
      <w:szCs w:val="20"/>
    </w:rPr>
  </w:style>
  <w:style w:type="paragraph" w:customStyle="1" w:styleId="16">
    <w:name w:val="排版正文"/>
    <w:basedOn w:val="1"/>
    <w:qFormat/>
    <w:uiPriority w:val="0"/>
    <w:pPr>
      <w:spacing w:line="600" w:lineRule="exact"/>
      <w:ind w:firstLine="420" w:firstLineChars="200"/>
    </w:pPr>
    <w:rPr>
      <w:szCs w:val="32"/>
    </w:rPr>
  </w:style>
  <w:style w:type="paragraph" w:customStyle="1" w:styleId="17">
    <w:name w:val="排版标题"/>
    <w:basedOn w:val="16"/>
    <w:qFormat/>
    <w:uiPriority w:val="0"/>
    <w:pPr>
      <w:ind w:firstLine="0" w:firstLineChars="0"/>
      <w:jc w:val="center"/>
    </w:pPr>
    <w:rPr>
      <w:rFonts w:eastAsia="方正小标宋简体"/>
      <w:sz w:val="44"/>
      <w:szCs w:val="44"/>
    </w:rPr>
  </w:style>
  <w:style w:type="paragraph" w:customStyle="1" w:styleId="18">
    <w:name w:val="目录1.2"/>
    <w:basedOn w:val="16"/>
    <w:qFormat/>
    <w:uiPriority w:val="0"/>
    <w:pPr>
      <w:ind w:firstLine="0" w:firstLineChars="0"/>
      <w:jc w:val="left"/>
    </w:pPr>
  </w:style>
  <w:style w:type="paragraph" w:customStyle="1" w:styleId="19">
    <w:name w:val="内网格式"/>
    <w:basedOn w:val="1"/>
    <w:qFormat/>
    <w:uiPriority w:val="0"/>
    <w:pPr>
      <w:spacing w:line="480" w:lineRule="auto"/>
      <w:ind w:firstLine="560" w:firstLineChars="200"/>
    </w:pPr>
    <w:rPr>
      <w:rFonts w:eastAsia="宋体"/>
      <w:sz w:val="24"/>
    </w:rPr>
  </w:style>
  <w:style w:type="paragraph" w:customStyle="1" w:styleId="20">
    <w:name w:val="司考排版标题1"/>
    <w:basedOn w:val="1"/>
    <w:qFormat/>
    <w:uiPriority w:val="0"/>
    <w:pPr>
      <w:spacing w:line="600" w:lineRule="exact"/>
      <w:jc w:val="center"/>
    </w:pPr>
    <w:rPr>
      <w:rFonts w:eastAsia="方正小标宋简体"/>
      <w:sz w:val="44"/>
      <w:szCs w:val="44"/>
    </w:rPr>
  </w:style>
  <w:style w:type="paragraph" w:customStyle="1" w:styleId="21">
    <w:name w:val="目录1.1"/>
    <w:basedOn w:val="16"/>
    <w:qFormat/>
    <w:uiPriority w:val="0"/>
    <w:pPr>
      <w:ind w:firstLine="0" w:firstLineChars="0"/>
      <w:jc w:val="center"/>
    </w:pPr>
    <w:rPr>
      <w:rFonts w:eastAsia="方正小标宋简体"/>
      <w:sz w:val="44"/>
      <w:szCs w:val="44"/>
    </w:rPr>
  </w:style>
  <w:style w:type="paragraph" w:customStyle="1" w:styleId="22">
    <w:name w:val="排版楷体"/>
    <w:basedOn w:val="17"/>
    <w:qFormat/>
    <w:uiPriority w:val="0"/>
    <w:pPr>
      <w:ind w:firstLine="880" w:firstLineChars="200"/>
      <w:jc w:val="both"/>
    </w:pPr>
    <w:rPr>
      <w:rFonts w:eastAsia="楷体_GB2312"/>
      <w:sz w:val="32"/>
      <w:szCs w:val="32"/>
    </w:rPr>
  </w:style>
  <w:style w:type="paragraph" w:customStyle="1" w:styleId="23">
    <w:name w:val="司考二级标题2"/>
    <w:basedOn w:val="17"/>
    <w:qFormat/>
    <w:uiPriority w:val="0"/>
    <w:rPr>
      <w:sz w:val="36"/>
      <w:szCs w:val="36"/>
    </w:rPr>
  </w:style>
  <w:style w:type="character" w:customStyle="1" w:styleId="24">
    <w:name w:val="公文正文 Char"/>
    <w:link w:val="25"/>
    <w:qFormat/>
    <w:uiPriority w:val="0"/>
    <w:rPr>
      <w:rFonts w:eastAsia="仿宋_GB2312"/>
      <w:sz w:val="32"/>
      <w:szCs w:val="32"/>
    </w:rPr>
  </w:style>
  <w:style w:type="paragraph" w:customStyle="1" w:styleId="25">
    <w:name w:val="公文正文"/>
    <w:basedOn w:val="1"/>
    <w:link w:val="24"/>
    <w:qFormat/>
    <w:uiPriority w:val="0"/>
    <w:pPr>
      <w:spacing w:line="600" w:lineRule="exact"/>
      <w:ind w:firstLine="880" w:firstLineChars="200"/>
    </w:pPr>
    <w:rPr>
      <w:kern w:val="0"/>
      <w:szCs w:val="32"/>
    </w:rPr>
  </w:style>
  <w:style w:type="character" w:customStyle="1" w:styleId="26">
    <w:name w:val="公文黑体 Char"/>
    <w:link w:val="27"/>
    <w:qFormat/>
    <w:uiPriority w:val="0"/>
    <w:rPr>
      <w:rFonts w:eastAsia="黑体"/>
      <w:sz w:val="32"/>
    </w:rPr>
  </w:style>
  <w:style w:type="paragraph" w:customStyle="1" w:styleId="27">
    <w:name w:val="公文黑体"/>
    <w:basedOn w:val="25"/>
    <w:link w:val="26"/>
    <w:qFormat/>
    <w:uiPriority w:val="0"/>
    <w:rPr>
      <w:rFonts w:eastAsia="黑体"/>
      <w:szCs w:val="20"/>
    </w:rPr>
  </w:style>
  <w:style w:type="paragraph" w:customStyle="1" w:styleId="28">
    <w:name w:val="公文标题"/>
    <w:qFormat/>
    <w:uiPriority w:val="0"/>
    <w:pPr>
      <w:spacing w:line="600" w:lineRule="exact"/>
      <w:jc w:val="center"/>
    </w:pPr>
    <w:rPr>
      <w:rFonts w:ascii="Times New Roman" w:hAnsi="Times New Roman" w:eastAsia="方正小标宋简体" w:cs="Times New Roman"/>
      <w:sz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dgsfj</Company>
  <Pages>15</Pages>
  <Words>732</Words>
  <Characters>4174</Characters>
  <Lines>34</Lines>
  <Paragraphs>9</Paragraphs>
  <TotalTime>0</TotalTime>
  <ScaleCrop>false</ScaleCrop>
  <LinksUpToDate>false</LinksUpToDate>
  <CharactersWithSpaces>4897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2022-04-26T20:01:00Z</dcterms:created>
  <dc:creator>宣教广华</dc:creator>
  <cp:lastModifiedBy>guest</cp:lastModifiedBy>
  <cp:lastPrinted>2023-04-27T17:52:00Z</cp:lastPrinted>
  <dcterms:modified xsi:type="dcterms:W3CDTF">2024-04-26T14:49:39Z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